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A13D" w14:textId="7649E96D" w:rsidR="0011595C" w:rsidRDefault="00DD1052" w:rsidP="007C4F0A">
      <w:pPr>
        <w:spacing w:after="0"/>
        <w:ind w:right="-4302"/>
      </w:pPr>
      <w:r>
        <w:rPr>
          <w:rFonts w:ascii="Arial" w:eastAsia="Arial" w:hAnsi="Arial" w:cs="Arial"/>
          <w:b/>
          <w:noProof/>
          <w:color w:val="FF0000"/>
        </w:rPr>
        <mc:AlternateContent>
          <mc:Choice Requires="wps">
            <w:drawing>
              <wp:anchor distT="0" distB="0" distL="114300" distR="114300" simplePos="0" relativeHeight="251658240" behindDoc="0" locked="0" layoutInCell="1" allowOverlap="1" wp14:anchorId="2B7E79FB" wp14:editId="1533F69B">
                <wp:simplePos x="0" y="0"/>
                <wp:positionH relativeFrom="column">
                  <wp:posOffset>6119622</wp:posOffset>
                </wp:positionH>
                <wp:positionV relativeFrom="paragraph">
                  <wp:posOffset>229</wp:posOffset>
                </wp:positionV>
                <wp:extent cx="50673" cy="224380"/>
                <wp:effectExtent l="0" t="0" r="0" b="0"/>
                <wp:wrapTopAndBottom/>
                <wp:docPr id="10" name="Rectangle 10"/>
                <wp:cNvGraphicFramePr/>
                <a:graphic xmlns:a="http://schemas.openxmlformats.org/drawingml/2006/main">
                  <a:graphicData uri="http://schemas.microsoft.com/office/word/2010/wordprocessingShape">
                    <wps:wsp>
                      <wps:cNvSpPr/>
                      <wps:spPr>
                        <a:xfrm>
                          <a:off x="0" y="0"/>
                          <a:ext cx="50673" cy="224380"/>
                        </a:xfrm>
                        <a:prstGeom prst="rect">
                          <a:avLst/>
                        </a:prstGeom>
                        <a:ln>
                          <a:noFill/>
                        </a:ln>
                      </wps:spPr>
                      <wps:txbx>
                        <w:txbxContent>
                          <w:p w14:paraId="3CB1A53B" w14:textId="77777777" w:rsidR="0011595C" w:rsidRDefault="00925326">
                            <w:r>
                              <w:rPr>
                                <w:rFonts w:ascii="Times New Roman" w:eastAsia="Times New Roman" w:hAnsi="Times New Roman" w:cs="Times New Roman"/>
                                <w:sz w:val="24"/>
                              </w:rPr>
                              <w:t xml:space="preserve"> </w:t>
                            </w:r>
                          </w:p>
                        </w:txbxContent>
                      </wps:txbx>
                      <wps:bodyPr horzOverflow="overflow" vert="horz" lIns="0" tIns="0" rIns="0" bIns="0" rtlCol="0">
                        <a:noAutofit/>
                      </wps:bodyPr>
                    </wps:wsp>
                  </a:graphicData>
                </a:graphic>
              </wp:anchor>
            </w:drawing>
          </mc:Choice>
          <mc:Fallback>
            <w:pict>
              <v:rect w14:anchorId="2B7E79FB" id="Rectangle 10" o:spid="_x0000_s1026" style="position:absolute;margin-left:481.85pt;margin-top:0;width:4pt;height:17.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" filled="f" stroked="f">
                <v:textbox inset="0,0,0,0">
                  <w:txbxContent>
                    <w:p w14:paraId="3CB1A53B" w14:textId="77777777" w:rsidR="0011595C" w:rsidRDefault="00925326">
                      <w:r>
                        <w:rPr>
                          <w:rFonts w:ascii="Times New Roman" w:eastAsia="Times New Roman" w:hAnsi="Times New Roman" w:cs="Times New Roman"/>
                          <w:sz w:val="24"/>
                        </w:rPr>
                        <w:t xml:space="preserve"> </w:t>
                      </w:r>
                    </w:p>
                  </w:txbxContent>
                </v:textbox>
                <w10:wrap type="topAndBottom"/>
              </v:rect>
            </w:pict>
          </mc:Fallback>
        </mc:AlternateContent>
      </w:r>
      <w:r w:rsidR="00925326">
        <w:rPr>
          <w:rFonts w:ascii="Arial" w:eastAsia="Arial" w:hAnsi="Arial" w:cs="Arial"/>
          <w:b/>
          <w:color w:val="FF0000"/>
        </w:rPr>
        <w:t xml:space="preserve">  </w:t>
      </w:r>
      <w:r w:rsidR="007C4F0A">
        <w:rPr>
          <w:rFonts w:ascii="Arial" w:eastAsia="Arial" w:hAnsi="Arial" w:cs="Arial"/>
          <w:b/>
          <w:sz w:val="24"/>
        </w:rPr>
        <w:t>Northern Health and Social Care Trust Board</w:t>
      </w:r>
      <w:r w:rsidR="00925326">
        <w:rPr>
          <w:rFonts w:ascii="Arial" w:eastAsia="Arial" w:hAnsi="Arial" w:cs="Arial"/>
          <w:b/>
          <w:sz w:val="24"/>
        </w:rPr>
        <w:t xml:space="preserve"> Meeting in Public</w:t>
      </w:r>
      <w:r w:rsidR="00925326">
        <w:rPr>
          <w:rFonts w:ascii="Arial" w:eastAsia="Arial" w:hAnsi="Arial" w:cs="Arial"/>
          <w:b/>
          <w:color w:val="FF0000"/>
          <w:sz w:val="24"/>
        </w:rPr>
        <w:t xml:space="preserve"> </w:t>
      </w:r>
      <w:r w:rsidR="00925326">
        <w:rPr>
          <w:rFonts w:ascii="Arial" w:eastAsia="Arial" w:hAnsi="Arial" w:cs="Arial"/>
          <w:b/>
          <w:sz w:val="24"/>
        </w:rPr>
        <w:t>- Cover Sheet</w:t>
      </w:r>
      <w:r w:rsidR="00925326">
        <w:rPr>
          <w:rFonts w:ascii="Arial" w:eastAsia="Arial" w:hAnsi="Arial" w:cs="Arial"/>
          <w:b/>
        </w:rPr>
        <w:t xml:space="preserve"> </w:t>
      </w:r>
    </w:p>
    <w:p w14:paraId="704CA016" w14:textId="77777777" w:rsidR="0011595C" w:rsidRDefault="00925326">
      <w:pPr>
        <w:spacing w:after="0"/>
      </w:pPr>
      <w:r>
        <w:rPr>
          <w:rFonts w:ascii="Arial" w:eastAsia="Arial" w:hAnsi="Arial" w:cs="Arial"/>
          <w:b/>
          <w:color w:val="FF0000"/>
        </w:rPr>
        <w:t xml:space="preserve"> </w:t>
      </w:r>
    </w:p>
    <w:tbl>
      <w:tblPr>
        <w:tblStyle w:val="TableGrid"/>
        <w:tblW w:w="10495" w:type="dxa"/>
        <w:tblInd w:w="-427" w:type="dxa"/>
        <w:tblCellMar>
          <w:top w:w="10" w:type="dxa"/>
          <w:left w:w="108" w:type="dxa"/>
          <w:right w:w="45" w:type="dxa"/>
        </w:tblCellMar>
        <w:tblLook w:val="04A0" w:firstRow="1" w:lastRow="0" w:firstColumn="1" w:lastColumn="0" w:noHBand="0" w:noVBand="1"/>
      </w:tblPr>
      <w:tblGrid>
        <w:gridCol w:w="1699"/>
        <w:gridCol w:w="1699"/>
        <w:gridCol w:w="1840"/>
        <w:gridCol w:w="1700"/>
        <w:gridCol w:w="1709"/>
        <w:gridCol w:w="1848"/>
      </w:tblGrid>
      <w:tr w:rsidR="00FE0002" w14:paraId="15870B79" w14:textId="77777777" w:rsidTr="000D7045">
        <w:trPr>
          <w:trHeight w:val="515"/>
        </w:trPr>
        <w:tc>
          <w:tcPr>
            <w:tcW w:w="1699" w:type="dxa"/>
            <w:tcBorders>
              <w:top w:val="single" w:sz="4" w:space="0" w:color="000000"/>
              <w:left w:val="single" w:sz="4" w:space="0" w:color="000000"/>
              <w:bottom w:val="single" w:sz="4" w:space="0" w:color="000000"/>
              <w:right w:val="single" w:sz="4" w:space="0" w:color="000000"/>
            </w:tcBorders>
            <w:shd w:val="clear" w:color="auto" w:fill="BFBFBF"/>
          </w:tcPr>
          <w:p w14:paraId="52EC9B4D" w14:textId="13B537F5" w:rsidR="00FE0002" w:rsidRDefault="00FE0002">
            <w:r>
              <w:rPr>
                <w:rFonts w:ascii="Arial" w:eastAsia="Arial" w:hAnsi="Arial" w:cs="Arial"/>
                <w:b/>
              </w:rPr>
              <w:t xml:space="preserve">Subject: </w:t>
            </w:r>
          </w:p>
        </w:tc>
        <w:tc>
          <w:tcPr>
            <w:tcW w:w="5239" w:type="dxa"/>
            <w:gridSpan w:val="3"/>
            <w:tcBorders>
              <w:top w:val="single" w:sz="4" w:space="0" w:color="000000"/>
              <w:left w:val="single" w:sz="4" w:space="0" w:color="000000"/>
              <w:bottom w:val="single" w:sz="4" w:space="0" w:color="000000"/>
              <w:right w:val="single" w:sz="4" w:space="0" w:color="000000"/>
            </w:tcBorders>
          </w:tcPr>
          <w:p w14:paraId="5A0EBA27" w14:textId="16C14F95" w:rsidR="00FE0002" w:rsidRPr="00492E04" w:rsidRDefault="00FE0002" w:rsidP="00492E04">
            <w:pPr>
              <w:rPr>
                <w:rFonts w:ascii="Arial" w:hAnsi="Arial" w:cs="Arial"/>
              </w:rPr>
            </w:pPr>
            <w:r w:rsidRPr="00535D94">
              <w:rPr>
                <w:rFonts w:ascii="Arial" w:hAnsi="Arial" w:cs="Arial"/>
              </w:rPr>
              <w:t>Business Case for the Replacement of the Centralised Obstetric Monitoring System and Cardiotocography Equipment within Maternity Services</w:t>
            </w:r>
          </w:p>
        </w:tc>
        <w:tc>
          <w:tcPr>
            <w:tcW w:w="3557" w:type="dxa"/>
            <w:gridSpan w:val="2"/>
            <w:tcBorders>
              <w:top w:val="single" w:sz="4" w:space="0" w:color="000000"/>
              <w:left w:val="single" w:sz="4" w:space="0" w:color="000000"/>
              <w:bottom w:val="single" w:sz="4" w:space="0" w:color="000000"/>
              <w:right w:val="single" w:sz="4" w:space="0" w:color="000000"/>
            </w:tcBorders>
          </w:tcPr>
          <w:p w14:paraId="02085A91" w14:textId="77777777" w:rsidR="00FE0002" w:rsidRDefault="00FE0002">
            <w:pPr>
              <w:ind w:left="2"/>
            </w:pPr>
            <w:r>
              <w:rPr>
                <w:rFonts w:ascii="Arial" w:eastAsia="Arial" w:hAnsi="Arial" w:cs="Arial"/>
                <w:b/>
              </w:rPr>
              <w:t>Date of Meeting: June 2026</w:t>
            </w:r>
          </w:p>
        </w:tc>
      </w:tr>
      <w:tr w:rsidR="00FE0002" w14:paraId="1C4054B3" w14:textId="77777777" w:rsidTr="000D7045">
        <w:trPr>
          <w:trHeight w:val="262"/>
        </w:trPr>
        <w:tc>
          <w:tcPr>
            <w:tcW w:w="1699" w:type="dxa"/>
            <w:tcBorders>
              <w:top w:val="single" w:sz="4" w:space="0" w:color="000000"/>
              <w:left w:val="single" w:sz="4" w:space="0" w:color="000000"/>
              <w:bottom w:val="single" w:sz="4" w:space="0" w:color="000000"/>
              <w:right w:val="single" w:sz="4" w:space="0" w:color="000000"/>
            </w:tcBorders>
            <w:shd w:val="clear" w:color="auto" w:fill="BFBFBF"/>
          </w:tcPr>
          <w:p w14:paraId="78CFED88" w14:textId="77777777" w:rsidR="00FE0002" w:rsidRDefault="00FE0002">
            <w:r>
              <w:rPr>
                <w:rFonts w:ascii="Arial" w:eastAsia="Arial" w:hAnsi="Arial" w:cs="Arial"/>
                <w:b/>
              </w:rPr>
              <w:t xml:space="preserve">Prepared By: </w:t>
            </w:r>
          </w:p>
        </w:tc>
        <w:tc>
          <w:tcPr>
            <w:tcW w:w="8796" w:type="dxa"/>
            <w:gridSpan w:val="5"/>
            <w:tcBorders>
              <w:top w:val="single" w:sz="4" w:space="0" w:color="000000"/>
              <w:left w:val="single" w:sz="4" w:space="0" w:color="000000"/>
              <w:bottom w:val="single" w:sz="4" w:space="0" w:color="000000"/>
              <w:right w:val="single" w:sz="4" w:space="0" w:color="000000"/>
            </w:tcBorders>
          </w:tcPr>
          <w:p w14:paraId="5BD883AC" w14:textId="1785C218" w:rsidR="00FE0002" w:rsidRDefault="006360A3">
            <w:pPr>
              <w:ind w:left="1"/>
            </w:pPr>
            <w:r>
              <w:t>Diane Williams</w:t>
            </w:r>
            <w:r w:rsidR="007A0A5A">
              <w:t xml:space="preserve">, Business &amp; Governance Manager, Paediatrics, Women’s Services &amp; </w:t>
            </w:r>
            <w:r w:rsidR="007A0A5A" w:rsidRPr="002616D6">
              <w:t>Corporate</w:t>
            </w:r>
            <w:r w:rsidR="007A0A5A">
              <w:t xml:space="preserve"> </w:t>
            </w:r>
            <w:r w:rsidR="007A0A5A" w:rsidRPr="002616D6">
              <w:t>Support</w:t>
            </w:r>
          </w:p>
        </w:tc>
      </w:tr>
      <w:tr w:rsidR="00FE0002" w14:paraId="18EAF7C9" w14:textId="77777777" w:rsidTr="000D7045">
        <w:trPr>
          <w:trHeight w:val="264"/>
        </w:trPr>
        <w:tc>
          <w:tcPr>
            <w:tcW w:w="1699" w:type="dxa"/>
            <w:tcBorders>
              <w:top w:val="single" w:sz="4" w:space="0" w:color="000000"/>
              <w:left w:val="single" w:sz="4" w:space="0" w:color="000000"/>
              <w:bottom w:val="single" w:sz="4" w:space="0" w:color="000000"/>
              <w:right w:val="single" w:sz="4" w:space="0" w:color="000000"/>
            </w:tcBorders>
            <w:shd w:val="clear" w:color="auto" w:fill="BFBFBF"/>
          </w:tcPr>
          <w:p w14:paraId="6AFE0A20" w14:textId="77777777" w:rsidR="00FE0002" w:rsidRDefault="00FE0002">
            <w:pPr>
              <w:jc w:val="both"/>
            </w:pPr>
            <w:r>
              <w:rPr>
                <w:rFonts w:ascii="Arial" w:eastAsia="Arial" w:hAnsi="Arial" w:cs="Arial"/>
                <w:b/>
              </w:rPr>
              <w:t xml:space="preserve">Approved By: </w:t>
            </w:r>
          </w:p>
        </w:tc>
        <w:tc>
          <w:tcPr>
            <w:tcW w:w="8796" w:type="dxa"/>
            <w:gridSpan w:val="5"/>
            <w:tcBorders>
              <w:top w:val="single" w:sz="4" w:space="0" w:color="000000"/>
              <w:left w:val="single" w:sz="4" w:space="0" w:color="000000"/>
              <w:bottom w:val="single" w:sz="4" w:space="0" w:color="000000"/>
              <w:right w:val="single" w:sz="4" w:space="0" w:color="000000"/>
            </w:tcBorders>
          </w:tcPr>
          <w:p w14:paraId="2ED7692F" w14:textId="799853D2" w:rsidR="00FE0002" w:rsidRDefault="007A0A5A" w:rsidP="007A0A5A">
            <w:pPr>
              <w:ind w:left="1"/>
            </w:pPr>
            <w:r>
              <w:t xml:space="preserve"> Gill Murphy, Interim </w:t>
            </w:r>
            <w:r w:rsidRPr="002616D6">
              <w:t xml:space="preserve">Executive Director of Nursing, </w:t>
            </w:r>
            <w:r>
              <w:t xml:space="preserve">Paediatrics, Women’s Services &amp; </w:t>
            </w:r>
            <w:r w:rsidRPr="002616D6">
              <w:t>Corporate</w:t>
            </w:r>
            <w:r>
              <w:t xml:space="preserve"> </w:t>
            </w:r>
            <w:r w:rsidRPr="002616D6">
              <w:t>Support</w:t>
            </w:r>
          </w:p>
        </w:tc>
      </w:tr>
      <w:tr w:rsidR="00FE0002" w14:paraId="6768F570" w14:textId="77777777" w:rsidTr="000D7045">
        <w:trPr>
          <w:trHeight w:val="263"/>
        </w:trPr>
        <w:tc>
          <w:tcPr>
            <w:tcW w:w="1699" w:type="dxa"/>
            <w:tcBorders>
              <w:top w:val="single" w:sz="4" w:space="0" w:color="000000"/>
              <w:left w:val="single" w:sz="4" w:space="0" w:color="000000"/>
              <w:bottom w:val="single" w:sz="4" w:space="0" w:color="000000"/>
              <w:right w:val="single" w:sz="4" w:space="0" w:color="000000"/>
            </w:tcBorders>
            <w:shd w:val="clear" w:color="auto" w:fill="BFBFBF"/>
          </w:tcPr>
          <w:p w14:paraId="093086FB" w14:textId="77777777" w:rsidR="00FE0002" w:rsidRDefault="00FE0002">
            <w:pPr>
              <w:jc w:val="both"/>
            </w:pPr>
            <w:r>
              <w:rPr>
                <w:rFonts w:ascii="Arial" w:eastAsia="Arial" w:hAnsi="Arial" w:cs="Arial"/>
                <w:b/>
              </w:rPr>
              <w:t xml:space="preserve">Presented By: </w:t>
            </w:r>
          </w:p>
        </w:tc>
        <w:tc>
          <w:tcPr>
            <w:tcW w:w="8796" w:type="dxa"/>
            <w:gridSpan w:val="5"/>
            <w:tcBorders>
              <w:top w:val="single" w:sz="4" w:space="0" w:color="000000"/>
              <w:left w:val="single" w:sz="4" w:space="0" w:color="000000"/>
              <w:bottom w:val="single" w:sz="4" w:space="0" w:color="000000"/>
              <w:right w:val="single" w:sz="4" w:space="0" w:color="000000"/>
            </w:tcBorders>
          </w:tcPr>
          <w:p w14:paraId="216AA84C" w14:textId="77777777" w:rsidR="007A0A5A" w:rsidRPr="002616D6" w:rsidRDefault="007A0A5A" w:rsidP="007A0A5A">
            <w:pPr>
              <w:ind w:left="1"/>
            </w:pPr>
            <w:r>
              <w:t xml:space="preserve">Gill Murphy, Interim </w:t>
            </w:r>
            <w:r w:rsidRPr="002616D6">
              <w:t xml:space="preserve">Executive Director of Nursing, </w:t>
            </w:r>
            <w:r>
              <w:t xml:space="preserve">Paediatrics, Women’s Services &amp; </w:t>
            </w:r>
            <w:r w:rsidRPr="002616D6">
              <w:t>Corporate</w:t>
            </w:r>
          </w:p>
          <w:p w14:paraId="783D6C19" w14:textId="13C73E55" w:rsidR="00FE0002" w:rsidRDefault="007A0A5A" w:rsidP="007A0A5A">
            <w:pPr>
              <w:ind w:left="1"/>
            </w:pPr>
            <w:r w:rsidRPr="002616D6">
              <w:t>Support</w:t>
            </w:r>
          </w:p>
        </w:tc>
      </w:tr>
      <w:tr w:rsidR="00FE0002" w14:paraId="57CC5A97" w14:textId="77777777" w:rsidTr="000D7045">
        <w:trPr>
          <w:trHeight w:val="262"/>
        </w:trPr>
        <w:tc>
          <w:tcPr>
            <w:tcW w:w="10495" w:type="dxa"/>
            <w:gridSpan w:val="6"/>
            <w:tcBorders>
              <w:top w:val="single" w:sz="4" w:space="0" w:color="000000"/>
              <w:left w:val="single" w:sz="4" w:space="0" w:color="000000"/>
              <w:bottom w:val="single" w:sz="4" w:space="0" w:color="000000"/>
              <w:right w:val="single" w:sz="4" w:space="0" w:color="000000"/>
            </w:tcBorders>
            <w:shd w:val="clear" w:color="auto" w:fill="A6A6A6"/>
          </w:tcPr>
          <w:p w14:paraId="409CBB5B" w14:textId="77777777" w:rsidR="00FE0002" w:rsidRDefault="00FE0002">
            <w:r>
              <w:rPr>
                <w:rFonts w:ascii="Arial" w:eastAsia="Arial" w:hAnsi="Arial" w:cs="Arial"/>
                <w:b/>
              </w:rPr>
              <w:t xml:space="preserve">Purpose </w:t>
            </w:r>
          </w:p>
        </w:tc>
      </w:tr>
      <w:tr w:rsidR="00FE0002" w14:paraId="1D390E08" w14:textId="77777777" w:rsidTr="000D7045">
        <w:trPr>
          <w:trHeight w:val="265"/>
        </w:trPr>
        <w:tc>
          <w:tcPr>
            <w:tcW w:w="6938" w:type="dxa"/>
            <w:gridSpan w:val="4"/>
            <w:vMerge w:val="restart"/>
            <w:tcBorders>
              <w:top w:val="single" w:sz="4" w:space="0" w:color="000000"/>
              <w:left w:val="single" w:sz="4" w:space="0" w:color="000000"/>
              <w:bottom w:val="single" w:sz="4" w:space="0" w:color="000000"/>
              <w:right w:val="single" w:sz="4" w:space="0" w:color="000000"/>
            </w:tcBorders>
          </w:tcPr>
          <w:p w14:paraId="55BC261A" w14:textId="77777777" w:rsidR="00FE0002" w:rsidRDefault="00FE0002" w:rsidP="008D73C0">
            <w:pPr>
              <w:rPr>
                <w:rFonts w:ascii="Arial" w:eastAsia="Arial" w:hAnsi="Arial" w:cs="Arial"/>
                <w:color w:val="FF0000"/>
              </w:rPr>
            </w:pPr>
          </w:p>
          <w:p w14:paraId="2E0E85B8" w14:textId="77777777" w:rsidR="00FE0002" w:rsidRPr="00535D94" w:rsidRDefault="00FE0002" w:rsidP="00535D94">
            <w:pPr>
              <w:rPr>
                <w:rFonts w:ascii="Arial" w:hAnsi="Arial" w:cs="Arial"/>
              </w:rPr>
            </w:pPr>
            <w:r w:rsidRPr="00535D94">
              <w:rPr>
                <w:rFonts w:ascii="Arial" w:hAnsi="Arial" w:cs="Arial"/>
              </w:rPr>
              <w:t>Business Case for the Replacement of the Centralised Obstetric Monitoring System and Cardiotocography Equipment within Maternity Services</w:t>
            </w:r>
          </w:p>
          <w:p w14:paraId="7E2CA840" w14:textId="77777777" w:rsidR="00FE0002" w:rsidRPr="00552B46" w:rsidRDefault="00FE0002" w:rsidP="00BA4F72">
            <w:pPr>
              <w:pStyle w:val="ListParagraph"/>
              <w:rPr>
                <w:rFonts w:ascii="Arial" w:hAnsi="Arial" w:cs="Arial"/>
                <w:sz w:val="24"/>
                <w:szCs w:val="24"/>
              </w:rPr>
            </w:pPr>
          </w:p>
        </w:tc>
        <w:tc>
          <w:tcPr>
            <w:tcW w:w="1709" w:type="dxa"/>
            <w:tcBorders>
              <w:top w:val="single" w:sz="4" w:space="0" w:color="000000"/>
              <w:left w:val="single" w:sz="4" w:space="0" w:color="000000"/>
              <w:bottom w:val="single" w:sz="4" w:space="0" w:color="000000"/>
              <w:right w:val="single" w:sz="4" w:space="0" w:color="000000"/>
            </w:tcBorders>
          </w:tcPr>
          <w:p w14:paraId="123F993D" w14:textId="77777777" w:rsidR="00FE0002" w:rsidRDefault="00FE0002">
            <w:pPr>
              <w:ind w:left="2"/>
            </w:pPr>
            <w:r>
              <w:rPr>
                <w:rFonts w:ascii="Arial" w:eastAsia="Arial" w:hAnsi="Arial" w:cs="Arial"/>
                <w:b/>
              </w:rPr>
              <w:t xml:space="preserve">Approval </w:t>
            </w:r>
          </w:p>
        </w:tc>
        <w:tc>
          <w:tcPr>
            <w:tcW w:w="1848" w:type="dxa"/>
            <w:tcBorders>
              <w:top w:val="single" w:sz="4" w:space="0" w:color="000000"/>
              <w:left w:val="single" w:sz="4" w:space="0" w:color="000000"/>
              <w:bottom w:val="single" w:sz="4" w:space="0" w:color="000000"/>
              <w:right w:val="single" w:sz="4" w:space="0" w:color="000000"/>
            </w:tcBorders>
          </w:tcPr>
          <w:p w14:paraId="2CE6618C" w14:textId="77777777" w:rsidR="00FE0002" w:rsidRDefault="00FE0002">
            <w:pPr>
              <w:ind w:right="63"/>
              <w:jc w:val="center"/>
            </w:pPr>
            <w:r w:rsidRPr="00E61908">
              <w:rPr>
                <w:rFonts w:ascii="Arial" w:hAnsi="Arial" w:cs="Arial"/>
              </w:rPr>
              <w:sym w:font="Wingdings" w:char="F0FC"/>
            </w:r>
          </w:p>
        </w:tc>
      </w:tr>
      <w:tr w:rsidR="00FE0002" w14:paraId="05218DC3" w14:textId="77777777" w:rsidTr="000D7045">
        <w:trPr>
          <w:trHeight w:val="262"/>
        </w:trPr>
        <w:tc>
          <w:tcPr>
            <w:tcW w:w="0" w:type="auto"/>
            <w:gridSpan w:val="4"/>
            <w:vMerge/>
            <w:tcBorders>
              <w:top w:val="nil"/>
              <w:left w:val="single" w:sz="4" w:space="0" w:color="000000"/>
              <w:bottom w:val="nil"/>
              <w:right w:val="single" w:sz="4" w:space="0" w:color="000000"/>
            </w:tcBorders>
          </w:tcPr>
          <w:p w14:paraId="30DBF80A" w14:textId="77777777" w:rsidR="00FE0002" w:rsidRDefault="00FE0002"/>
        </w:tc>
        <w:tc>
          <w:tcPr>
            <w:tcW w:w="1709" w:type="dxa"/>
            <w:tcBorders>
              <w:top w:val="single" w:sz="4" w:space="0" w:color="000000"/>
              <w:left w:val="single" w:sz="4" w:space="0" w:color="000000"/>
              <w:bottom w:val="single" w:sz="4" w:space="0" w:color="000000"/>
              <w:right w:val="single" w:sz="4" w:space="0" w:color="000000"/>
            </w:tcBorders>
          </w:tcPr>
          <w:p w14:paraId="01C754C7" w14:textId="77777777" w:rsidR="00FE0002" w:rsidRDefault="00FE0002">
            <w:pPr>
              <w:ind w:left="2"/>
            </w:pPr>
            <w:r>
              <w:rPr>
                <w:rFonts w:ascii="Arial" w:eastAsia="Arial" w:hAnsi="Arial" w:cs="Arial"/>
                <w:b/>
              </w:rPr>
              <w:t xml:space="preserve">Assurance </w:t>
            </w:r>
          </w:p>
        </w:tc>
        <w:tc>
          <w:tcPr>
            <w:tcW w:w="1848" w:type="dxa"/>
            <w:tcBorders>
              <w:top w:val="single" w:sz="4" w:space="0" w:color="000000"/>
              <w:left w:val="single" w:sz="4" w:space="0" w:color="000000"/>
              <w:bottom w:val="single" w:sz="4" w:space="0" w:color="000000"/>
              <w:right w:val="single" w:sz="4" w:space="0" w:color="000000"/>
            </w:tcBorders>
          </w:tcPr>
          <w:p w14:paraId="570C1229" w14:textId="77777777" w:rsidR="00FE0002" w:rsidRDefault="00FE0002">
            <w:pPr>
              <w:ind w:right="63"/>
              <w:jc w:val="center"/>
            </w:pPr>
          </w:p>
        </w:tc>
      </w:tr>
      <w:tr w:rsidR="00FE0002" w14:paraId="14D80007" w14:textId="77777777" w:rsidTr="000D7045">
        <w:trPr>
          <w:trHeight w:val="264"/>
        </w:trPr>
        <w:tc>
          <w:tcPr>
            <w:tcW w:w="0" w:type="auto"/>
            <w:gridSpan w:val="4"/>
            <w:vMerge/>
            <w:tcBorders>
              <w:top w:val="nil"/>
              <w:left w:val="single" w:sz="4" w:space="0" w:color="000000"/>
              <w:bottom w:val="nil"/>
              <w:right w:val="single" w:sz="4" w:space="0" w:color="000000"/>
            </w:tcBorders>
          </w:tcPr>
          <w:p w14:paraId="7348144E" w14:textId="77777777" w:rsidR="00FE0002" w:rsidRDefault="00FE0002"/>
        </w:tc>
        <w:tc>
          <w:tcPr>
            <w:tcW w:w="1709" w:type="dxa"/>
            <w:tcBorders>
              <w:top w:val="single" w:sz="4" w:space="0" w:color="000000"/>
              <w:left w:val="single" w:sz="4" w:space="0" w:color="000000"/>
              <w:bottom w:val="single" w:sz="4" w:space="0" w:color="000000"/>
              <w:right w:val="single" w:sz="4" w:space="0" w:color="000000"/>
            </w:tcBorders>
          </w:tcPr>
          <w:p w14:paraId="2F3FE375" w14:textId="77777777" w:rsidR="00FE0002" w:rsidRDefault="00FE0002">
            <w:pPr>
              <w:ind w:left="2"/>
            </w:pPr>
            <w:r>
              <w:rPr>
                <w:rFonts w:ascii="Arial" w:eastAsia="Arial" w:hAnsi="Arial" w:cs="Arial"/>
                <w:b/>
              </w:rPr>
              <w:t xml:space="preserve">Update </w:t>
            </w:r>
          </w:p>
        </w:tc>
        <w:tc>
          <w:tcPr>
            <w:tcW w:w="1848" w:type="dxa"/>
            <w:tcBorders>
              <w:top w:val="single" w:sz="4" w:space="0" w:color="000000"/>
              <w:left w:val="single" w:sz="4" w:space="0" w:color="000000"/>
              <w:bottom w:val="single" w:sz="4" w:space="0" w:color="000000"/>
              <w:right w:val="single" w:sz="4" w:space="0" w:color="000000"/>
            </w:tcBorders>
          </w:tcPr>
          <w:p w14:paraId="4105C15E" w14:textId="77777777" w:rsidR="00FE0002" w:rsidRDefault="00FE0002">
            <w:pPr>
              <w:jc w:val="center"/>
            </w:pPr>
            <w:r>
              <w:rPr>
                <w:rFonts w:ascii="Arial" w:eastAsia="Arial" w:hAnsi="Arial" w:cs="Arial"/>
                <w:b/>
                <w:color w:val="FF0000"/>
              </w:rPr>
              <w:t xml:space="preserve"> </w:t>
            </w:r>
          </w:p>
        </w:tc>
      </w:tr>
      <w:tr w:rsidR="00FE0002" w14:paraId="6D5F2969" w14:textId="77777777" w:rsidTr="00A85769">
        <w:trPr>
          <w:trHeight w:val="334"/>
        </w:trPr>
        <w:tc>
          <w:tcPr>
            <w:tcW w:w="0" w:type="auto"/>
            <w:gridSpan w:val="4"/>
            <w:vMerge/>
            <w:tcBorders>
              <w:top w:val="nil"/>
              <w:left w:val="single" w:sz="4" w:space="0" w:color="000000"/>
              <w:bottom w:val="single" w:sz="4" w:space="0" w:color="000000"/>
              <w:right w:val="single" w:sz="4" w:space="0" w:color="000000"/>
            </w:tcBorders>
          </w:tcPr>
          <w:p w14:paraId="3D85CDF5" w14:textId="77777777" w:rsidR="00FE0002" w:rsidRDefault="00FE0002"/>
        </w:tc>
        <w:tc>
          <w:tcPr>
            <w:tcW w:w="1709" w:type="dxa"/>
            <w:tcBorders>
              <w:top w:val="single" w:sz="4" w:space="0" w:color="000000"/>
              <w:left w:val="single" w:sz="4" w:space="0" w:color="000000"/>
              <w:bottom w:val="single" w:sz="4" w:space="0" w:color="000000"/>
              <w:right w:val="single" w:sz="4" w:space="0" w:color="000000"/>
            </w:tcBorders>
          </w:tcPr>
          <w:p w14:paraId="513AF96F" w14:textId="77777777" w:rsidR="00FE0002" w:rsidRDefault="00FE0002">
            <w:pPr>
              <w:ind w:left="2"/>
            </w:pPr>
            <w:r>
              <w:rPr>
                <w:rFonts w:ascii="Arial" w:eastAsia="Arial" w:hAnsi="Arial" w:cs="Arial"/>
                <w:b/>
              </w:rPr>
              <w:t>Noting</w:t>
            </w:r>
          </w:p>
        </w:tc>
        <w:tc>
          <w:tcPr>
            <w:tcW w:w="1848" w:type="dxa"/>
            <w:tcBorders>
              <w:top w:val="single" w:sz="4" w:space="0" w:color="000000"/>
              <w:left w:val="single" w:sz="4" w:space="0" w:color="000000"/>
              <w:bottom w:val="single" w:sz="4" w:space="0" w:color="000000"/>
              <w:right w:val="single" w:sz="4" w:space="0" w:color="000000"/>
            </w:tcBorders>
          </w:tcPr>
          <w:p w14:paraId="5E7FF176" w14:textId="77777777" w:rsidR="00FE0002" w:rsidRDefault="00FE0002">
            <w:pPr>
              <w:jc w:val="center"/>
            </w:pPr>
            <w:r>
              <w:rPr>
                <w:rFonts w:ascii="Arial" w:eastAsia="Arial" w:hAnsi="Arial" w:cs="Arial"/>
                <w:b/>
                <w:color w:val="FF0000"/>
              </w:rPr>
              <w:t xml:space="preserve"> </w:t>
            </w:r>
          </w:p>
        </w:tc>
      </w:tr>
      <w:tr w:rsidR="00FE0002" w14:paraId="6DE5024E" w14:textId="77777777" w:rsidTr="000D7045">
        <w:trPr>
          <w:trHeight w:val="259"/>
        </w:trPr>
        <w:tc>
          <w:tcPr>
            <w:tcW w:w="10495" w:type="dxa"/>
            <w:gridSpan w:val="6"/>
            <w:tcBorders>
              <w:top w:val="single" w:sz="4" w:space="0" w:color="000000"/>
              <w:left w:val="single" w:sz="4" w:space="0" w:color="000000"/>
              <w:bottom w:val="single" w:sz="4" w:space="0" w:color="000000"/>
              <w:right w:val="single" w:sz="4" w:space="0" w:color="000000"/>
            </w:tcBorders>
            <w:shd w:val="clear" w:color="auto" w:fill="A6A6A6"/>
          </w:tcPr>
          <w:p w14:paraId="76C49069" w14:textId="77777777" w:rsidR="00FE0002" w:rsidRDefault="00FE0002">
            <w:r>
              <w:rPr>
                <w:rFonts w:ascii="Arial" w:eastAsia="Arial" w:hAnsi="Arial" w:cs="Arial"/>
                <w:b/>
              </w:rPr>
              <w:t xml:space="preserve">Strategic Objectives </w:t>
            </w:r>
          </w:p>
        </w:tc>
      </w:tr>
      <w:tr w:rsidR="00FE0002" w14:paraId="6849D482" w14:textId="77777777" w:rsidTr="000D7045">
        <w:trPr>
          <w:trHeight w:val="1276"/>
        </w:trPr>
        <w:tc>
          <w:tcPr>
            <w:tcW w:w="1699" w:type="dxa"/>
            <w:tcBorders>
              <w:top w:val="single" w:sz="4" w:space="0" w:color="000000"/>
              <w:left w:val="single" w:sz="4" w:space="0" w:color="000000"/>
              <w:bottom w:val="single" w:sz="4" w:space="0" w:color="000000"/>
              <w:right w:val="single" w:sz="4" w:space="0" w:color="000000"/>
            </w:tcBorders>
          </w:tcPr>
          <w:p w14:paraId="0596556A" w14:textId="77777777" w:rsidR="00FE0002" w:rsidRDefault="00FE0002">
            <w:pPr>
              <w:jc w:val="center"/>
            </w:pPr>
            <w:r w:rsidRPr="00D57742">
              <w:rPr>
                <w:rFonts w:ascii="Arial" w:hAnsi="Arial" w:cs="Arial"/>
                <w:b/>
                <w:i/>
              </w:rPr>
              <w:t xml:space="preserve">Build </w:t>
            </w:r>
            <w:r w:rsidRPr="00D57742">
              <w:rPr>
                <w:rFonts w:ascii="Arial" w:hAnsi="Arial" w:cs="Arial"/>
                <w:b/>
                <w:i/>
                <w:color w:val="55CADD"/>
              </w:rPr>
              <w:t>N</w:t>
            </w:r>
            <w:r w:rsidRPr="00D57742">
              <w:rPr>
                <w:rFonts w:ascii="Arial" w:hAnsi="Arial" w:cs="Arial"/>
                <w:b/>
                <w:i/>
              </w:rPr>
              <w:t>orthern Partnerships and Integrate Care</w:t>
            </w:r>
          </w:p>
        </w:tc>
        <w:tc>
          <w:tcPr>
            <w:tcW w:w="1699" w:type="dxa"/>
            <w:tcBorders>
              <w:top w:val="single" w:sz="4" w:space="0" w:color="000000"/>
              <w:left w:val="single" w:sz="4" w:space="0" w:color="000000"/>
              <w:bottom w:val="single" w:sz="4" w:space="0" w:color="000000"/>
              <w:right w:val="single" w:sz="4" w:space="0" w:color="000000"/>
            </w:tcBorders>
          </w:tcPr>
          <w:p w14:paraId="73576659" w14:textId="77777777" w:rsidR="00FE0002" w:rsidRDefault="00FE0002">
            <w:pPr>
              <w:jc w:val="center"/>
            </w:pPr>
            <w:r w:rsidRPr="00D57742">
              <w:rPr>
                <w:rFonts w:ascii="Arial" w:hAnsi="Arial" w:cs="Arial"/>
                <w:b/>
                <w:i/>
              </w:rPr>
              <w:t xml:space="preserve">Continue to improve </w:t>
            </w:r>
            <w:r w:rsidRPr="00D57742">
              <w:rPr>
                <w:rFonts w:ascii="Arial" w:hAnsi="Arial" w:cs="Arial"/>
                <w:b/>
                <w:i/>
                <w:color w:val="FB37DA"/>
              </w:rPr>
              <w:t>O</w:t>
            </w:r>
            <w:r w:rsidRPr="00D57742">
              <w:rPr>
                <w:rFonts w:ascii="Arial" w:hAnsi="Arial" w:cs="Arial"/>
                <w:b/>
                <w:i/>
              </w:rPr>
              <w:t>utcomes &amp; Experience</w:t>
            </w:r>
          </w:p>
        </w:tc>
        <w:tc>
          <w:tcPr>
            <w:tcW w:w="1840" w:type="dxa"/>
            <w:tcBorders>
              <w:top w:val="single" w:sz="4" w:space="0" w:color="000000"/>
              <w:left w:val="single" w:sz="4" w:space="0" w:color="000000"/>
              <w:bottom w:val="single" w:sz="4" w:space="0" w:color="000000"/>
              <w:right w:val="single" w:sz="4" w:space="0" w:color="000000"/>
            </w:tcBorders>
          </w:tcPr>
          <w:p w14:paraId="7AFE4FED" w14:textId="77777777" w:rsidR="00FE0002" w:rsidRDefault="00FE0002">
            <w:pPr>
              <w:jc w:val="center"/>
            </w:pPr>
            <w:r w:rsidRPr="00D57742">
              <w:rPr>
                <w:rFonts w:ascii="Arial" w:hAnsi="Arial" w:cs="Arial"/>
                <w:b/>
                <w:i/>
              </w:rPr>
              <w:t xml:space="preserve">Deliver value by optimising </w:t>
            </w:r>
            <w:r w:rsidRPr="00D57742">
              <w:rPr>
                <w:rFonts w:ascii="Arial" w:hAnsi="Arial" w:cs="Arial"/>
                <w:b/>
                <w:i/>
                <w:color w:val="FB37DA"/>
              </w:rPr>
              <w:t>R</w:t>
            </w:r>
            <w:r w:rsidRPr="00D57742">
              <w:rPr>
                <w:rFonts w:ascii="Arial" w:hAnsi="Arial" w:cs="Arial"/>
                <w:b/>
                <w:i/>
              </w:rPr>
              <w:t>esources</w:t>
            </w:r>
          </w:p>
        </w:tc>
        <w:tc>
          <w:tcPr>
            <w:tcW w:w="1700" w:type="dxa"/>
            <w:tcBorders>
              <w:top w:val="single" w:sz="4" w:space="0" w:color="000000"/>
              <w:left w:val="single" w:sz="4" w:space="0" w:color="000000"/>
              <w:bottom w:val="single" w:sz="4" w:space="0" w:color="000000"/>
              <w:right w:val="single" w:sz="4" w:space="0" w:color="000000"/>
            </w:tcBorders>
          </w:tcPr>
          <w:p w14:paraId="094D3102" w14:textId="77777777" w:rsidR="00FE0002" w:rsidRPr="00D97865" w:rsidRDefault="00FE0002" w:rsidP="00D97865">
            <w:pPr>
              <w:jc w:val="center"/>
              <w:rPr>
                <w:rFonts w:ascii="Arial" w:hAnsi="Arial" w:cs="Arial"/>
                <w:b/>
                <w:i/>
              </w:rPr>
            </w:pPr>
            <w:r w:rsidRPr="00D97865">
              <w:rPr>
                <w:rFonts w:ascii="Arial" w:hAnsi="Arial" w:cs="Arial"/>
                <w:b/>
                <w:i/>
              </w:rPr>
              <w:t xml:space="preserve">Nurture our People, Enable our </w:t>
            </w:r>
            <w:r w:rsidRPr="00D97865">
              <w:rPr>
                <w:rFonts w:ascii="Arial" w:hAnsi="Arial" w:cs="Arial"/>
                <w:b/>
                <w:i/>
                <w:color w:val="FF00FF"/>
              </w:rPr>
              <w:t>T</w:t>
            </w:r>
            <w:r w:rsidRPr="00D97865">
              <w:rPr>
                <w:rFonts w:ascii="Arial" w:hAnsi="Arial" w:cs="Arial"/>
                <w:b/>
                <w:i/>
              </w:rPr>
              <w:t>alent &amp; Build Our Teams</w:t>
            </w:r>
          </w:p>
          <w:p w14:paraId="715DE195" w14:textId="77777777" w:rsidR="00FE0002" w:rsidRPr="00D97865" w:rsidRDefault="00FE0002" w:rsidP="00D97865">
            <w:pPr>
              <w:jc w:val="center"/>
              <w:rPr>
                <w:rFonts w:ascii="Arial" w:hAnsi="Arial" w:cs="Arial"/>
                <w:b/>
                <w:i/>
              </w:rPr>
            </w:pPr>
          </w:p>
        </w:tc>
        <w:tc>
          <w:tcPr>
            <w:tcW w:w="3557" w:type="dxa"/>
            <w:gridSpan w:val="2"/>
            <w:tcBorders>
              <w:top w:val="single" w:sz="4" w:space="0" w:color="000000"/>
              <w:left w:val="single" w:sz="4" w:space="0" w:color="000000"/>
              <w:bottom w:val="single" w:sz="4" w:space="0" w:color="000000"/>
              <w:right w:val="single" w:sz="4" w:space="0" w:color="000000"/>
            </w:tcBorders>
          </w:tcPr>
          <w:p w14:paraId="39A3F263" w14:textId="77777777" w:rsidR="00FE0002" w:rsidRPr="00D57742" w:rsidRDefault="00FE0002" w:rsidP="007C4F0A">
            <w:pPr>
              <w:pStyle w:val="CPDsheettitle"/>
              <w:spacing w:line="276" w:lineRule="auto"/>
              <w:ind w:left="0"/>
              <w:rPr>
                <w:rFonts w:cs="Arial"/>
                <w:i/>
                <w:sz w:val="22"/>
                <w:szCs w:val="22"/>
              </w:rPr>
            </w:pPr>
            <w:r w:rsidRPr="00D57742">
              <w:rPr>
                <w:rFonts w:cs="Arial"/>
                <w:i/>
                <w:sz w:val="22"/>
                <w:szCs w:val="22"/>
              </w:rPr>
              <w:t xml:space="preserve">Improve population </w:t>
            </w:r>
            <w:r w:rsidRPr="00D57742">
              <w:rPr>
                <w:rFonts w:cs="Arial"/>
                <w:i/>
                <w:color w:val="55CADD"/>
                <w:sz w:val="22"/>
                <w:szCs w:val="22"/>
              </w:rPr>
              <w:t>H</w:t>
            </w:r>
            <w:r w:rsidRPr="00D57742">
              <w:rPr>
                <w:rFonts w:cs="Arial"/>
                <w:i/>
                <w:sz w:val="22"/>
                <w:szCs w:val="22"/>
              </w:rPr>
              <w:t>ealth &amp; address health &amp; social care inequalities</w:t>
            </w:r>
          </w:p>
          <w:p w14:paraId="6196911C" w14:textId="77777777" w:rsidR="00FE0002" w:rsidRDefault="00FE0002">
            <w:pPr>
              <w:jc w:val="center"/>
            </w:pPr>
            <w:r>
              <w:rPr>
                <w:rFonts w:ascii="Arial" w:eastAsia="Arial" w:hAnsi="Arial" w:cs="Arial"/>
              </w:rPr>
              <w:t xml:space="preserve"> </w:t>
            </w:r>
          </w:p>
        </w:tc>
      </w:tr>
      <w:tr w:rsidR="00FE0002" w14:paraId="36A7023A" w14:textId="77777777" w:rsidTr="000D7045">
        <w:trPr>
          <w:trHeight w:val="265"/>
        </w:trPr>
        <w:tc>
          <w:tcPr>
            <w:tcW w:w="1699" w:type="dxa"/>
            <w:tcBorders>
              <w:top w:val="single" w:sz="4" w:space="0" w:color="000000"/>
              <w:left w:val="single" w:sz="4" w:space="0" w:color="000000"/>
              <w:bottom w:val="single" w:sz="4" w:space="0" w:color="000000"/>
              <w:right w:val="single" w:sz="4" w:space="0" w:color="000000"/>
            </w:tcBorders>
          </w:tcPr>
          <w:p w14:paraId="736A6A4C" w14:textId="77777777" w:rsidR="00FE0002" w:rsidRDefault="00FE0002">
            <w:pPr>
              <w:ind w:right="60"/>
              <w:jc w:val="center"/>
            </w:pPr>
          </w:p>
        </w:tc>
        <w:tc>
          <w:tcPr>
            <w:tcW w:w="1699" w:type="dxa"/>
            <w:tcBorders>
              <w:top w:val="single" w:sz="4" w:space="0" w:color="000000"/>
              <w:left w:val="single" w:sz="4" w:space="0" w:color="000000"/>
              <w:bottom w:val="single" w:sz="4" w:space="0" w:color="000000"/>
              <w:right w:val="single" w:sz="4" w:space="0" w:color="000000"/>
            </w:tcBorders>
          </w:tcPr>
          <w:p w14:paraId="547CD51A" w14:textId="77777777" w:rsidR="00FE0002" w:rsidRDefault="00FE0002">
            <w:pPr>
              <w:ind w:right="59"/>
              <w:jc w:val="center"/>
            </w:pPr>
            <w:r w:rsidRPr="00E61908">
              <w:rPr>
                <w:rFonts w:ascii="Arial" w:hAnsi="Arial" w:cs="Arial"/>
              </w:rPr>
              <w:sym w:font="Wingdings" w:char="F0FC"/>
            </w:r>
          </w:p>
        </w:tc>
        <w:tc>
          <w:tcPr>
            <w:tcW w:w="1840" w:type="dxa"/>
            <w:tcBorders>
              <w:top w:val="single" w:sz="4" w:space="0" w:color="000000"/>
              <w:left w:val="single" w:sz="4" w:space="0" w:color="000000"/>
              <w:bottom w:val="single" w:sz="4" w:space="0" w:color="000000"/>
              <w:right w:val="single" w:sz="4" w:space="0" w:color="000000"/>
            </w:tcBorders>
          </w:tcPr>
          <w:p w14:paraId="54082B13" w14:textId="39C97DCA" w:rsidR="00FE0002" w:rsidRDefault="00DA1FD8">
            <w:pPr>
              <w:ind w:right="59"/>
              <w:jc w:val="center"/>
            </w:pPr>
            <w:r w:rsidRPr="00E61908">
              <w:rPr>
                <w:rFonts w:ascii="Arial" w:hAnsi="Arial" w:cs="Arial"/>
              </w:rPr>
              <w:sym w:font="Wingdings" w:char="F0FC"/>
            </w:r>
          </w:p>
        </w:tc>
        <w:tc>
          <w:tcPr>
            <w:tcW w:w="1700" w:type="dxa"/>
            <w:tcBorders>
              <w:top w:val="single" w:sz="4" w:space="0" w:color="000000"/>
              <w:left w:val="single" w:sz="4" w:space="0" w:color="000000"/>
              <w:bottom w:val="single" w:sz="4" w:space="0" w:color="000000"/>
              <w:right w:val="single" w:sz="4" w:space="0" w:color="000000"/>
            </w:tcBorders>
          </w:tcPr>
          <w:p w14:paraId="58694F91" w14:textId="77777777" w:rsidR="00FE0002" w:rsidRDefault="00FE0002">
            <w:pPr>
              <w:ind w:right="56"/>
              <w:jc w:val="center"/>
            </w:pPr>
          </w:p>
        </w:tc>
        <w:tc>
          <w:tcPr>
            <w:tcW w:w="3557" w:type="dxa"/>
            <w:gridSpan w:val="2"/>
            <w:tcBorders>
              <w:top w:val="single" w:sz="4" w:space="0" w:color="000000"/>
              <w:left w:val="single" w:sz="4" w:space="0" w:color="000000"/>
              <w:bottom w:val="single" w:sz="4" w:space="0" w:color="000000"/>
              <w:right w:val="single" w:sz="4" w:space="0" w:color="000000"/>
            </w:tcBorders>
          </w:tcPr>
          <w:p w14:paraId="5B1E5B72" w14:textId="1A6F457D" w:rsidR="00FE0002" w:rsidRDefault="00FE0002" w:rsidP="007C4F0A">
            <w:pPr>
              <w:ind w:right="57"/>
              <w:jc w:val="center"/>
            </w:pPr>
          </w:p>
        </w:tc>
      </w:tr>
      <w:tr w:rsidR="00FE0002" w14:paraId="54BB171D" w14:textId="77777777" w:rsidTr="000D7045">
        <w:trPr>
          <w:trHeight w:val="262"/>
        </w:trPr>
        <w:tc>
          <w:tcPr>
            <w:tcW w:w="10495" w:type="dxa"/>
            <w:gridSpan w:val="6"/>
            <w:tcBorders>
              <w:top w:val="single" w:sz="4" w:space="0" w:color="000000"/>
              <w:left w:val="single" w:sz="4" w:space="0" w:color="000000"/>
              <w:bottom w:val="single" w:sz="4" w:space="0" w:color="000000"/>
              <w:right w:val="single" w:sz="4" w:space="0" w:color="000000"/>
            </w:tcBorders>
            <w:shd w:val="clear" w:color="auto" w:fill="A6A6A6"/>
          </w:tcPr>
          <w:p w14:paraId="400D2E6E" w14:textId="77777777" w:rsidR="00FE0002" w:rsidRDefault="00FE0002" w:rsidP="002F481F">
            <w:r>
              <w:rPr>
                <w:rFonts w:ascii="Arial" w:eastAsia="Arial" w:hAnsi="Arial" w:cs="Arial"/>
                <w:b/>
              </w:rPr>
              <w:t>Risk</w:t>
            </w:r>
            <w:r>
              <w:rPr>
                <w:rFonts w:ascii="Arial" w:eastAsia="Arial" w:hAnsi="Arial" w:cs="Arial"/>
                <w:b/>
                <w:color w:val="FF0000"/>
              </w:rPr>
              <w:t xml:space="preserve"> – please note if links to any principal, corporate or divisional risk</w:t>
            </w:r>
          </w:p>
        </w:tc>
      </w:tr>
      <w:tr w:rsidR="00FE0002" w14:paraId="0FC774C8" w14:textId="77777777" w:rsidTr="00A85769">
        <w:trPr>
          <w:trHeight w:val="263"/>
        </w:trPr>
        <w:tc>
          <w:tcPr>
            <w:tcW w:w="1699" w:type="dxa"/>
            <w:tcBorders>
              <w:top w:val="single" w:sz="4" w:space="0" w:color="000000"/>
              <w:left w:val="single" w:sz="4" w:space="0" w:color="000000"/>
              <w:bottom w:val="single" w:sz="4" w:space="0" w:color="000000"/>
              <w:right w:val="single" w:sz="4" w:space="0" w:color="000000"/>
            </w:tcBorders>
            <w:vAlign w:val="center"/>
          </w:tcPr>
          <w:p w14:paraId="2872959E" w14:textId="77777777" w:rsidR="00FE0002" w:rsidRDefault="00FE0002" w:rsidP="00E42A0C">
            <w:pPr>
              <w:tabs>
                <w:tab w:val="center" w:pos="3004"/>
              </w:tabs>
            </w:pPr>
            <w:r>
              <w:t>ID1184</w:t>
            </w:r>
          </w:p>
        </w:tc>
        <w:tc>
          <w:tcPr>
            <w:tcW w:w="6948" w:type="dxa"/>
            <w:gridSpan w:val="4"/>
            <w:tcBorders>
              <w:top w:val="single" w:sz="4" w:space="0" w:color="000000"/>
              <w:left w:val="single" w:sz="4" w:space="0" w:color="000000"/>
              <w:bottom w:val="single" w:sz="4" w:space="0" w:color="000000"/>
              <w:right w:val="single" w:sz="4" w:space="0" w:color="000000"/>
            </w:tcBorders>
            <w:vAlign w:val="center"/>
          </w:tcPr>
          <w:p w14:paraId="5F635566" w14:textId="32842D2B" w:rsidR="00B52CF9" w:rsidRPr="00B52CF9" w:rsidRDefault="00B52CF9" w:rsidP="00B52CF9">
            <w:pPr>
              <w:tabs>
                <w:tab w:val="center" w:pos="3004"/>
              </w:tabs>
            </w:pPr>
            <w:r w:rsidRPr="00B52CF9">
              <w:t xml:space="preserve">If CTG monitoring relies on obsolete systems and ageing monitors, then equipment/system failure is likely, resulting in reduced monitoring capacity and inability to retain maternity records for 25 years, risking compromised assessment of </w:t>
            </w:r>
            <w:proofErr w:type="spellStart"/>
            <w:r w:rsidRPr="00B52CF9">
              <w:t>fetal</w:t>
            </w:r>
            <w:proofErr w:type="spellEnd"/>
            <w:r w:rsidRPr="00B52CF9">
              <w:t xml:space="preserve"> wellbeing</w:t>
            </w:r>
            <w:r>
              <w:t xml:space="preserve"> and non-compliance</w:t>
            </w:r>
            <w:r w:rsidRPr="00B52CF9">
              <w:t>.</w:t>
            </w:r>
          </w:p>
          <w:p w14:paraId="4EE29F52" w14:textId="2D9C472D" w:rsidR="00FE0002" w:rsidRDefault="00FE0002" w:rsidP="00E42A0C">
            <w:pPr>
              <w:tabs>
                <w:tab w:val="center" w:pos="3004"/>
              </w:tabs>
            </w:pPr>
          </w:p>
        </w:tc>
        <w:tc>
          <w:tcPr>
            <w:tcW w:w="1848" w:type="dxa"/>
            <w:tcBorders>
              <w:top w:val="single" w:sz="4" w:space="0" w:color="000000"/>
              <w:left w:val="single" w:sz="4" w:space="0" w:color="000000"/>
              <w:bottom w:val="single" w:sz="4" w:space="0" w:color="000000"/>
              <w:right w:val="single" w:sz="4" w:space="0" w:color="000000"/>
            </w:tcBorders>
            <w:vAlign w:val="center"/>
          </w:tcPr>
          <w:p w14:paraId="6706ED38" w14:textId="1E9166B7" w:rsidR="00FE0002" w:rsidRDefault="00B52CF9" w:rsidP="00E42A0C">
            <w:pPr>
              <w:ind w:right="63"/>
            </w:pPr>
            <w:r>
              <w:t>Obstetrics and Gynaecology Service Risk Register</w:t>
            </w:r>
          </w:p>
        </w:tc>
      </w:tr>
      <w:tr w:rsidR="00FE0002" w14:paraId="026C1698" w14:textId="77777777" w:rsidTr="000D7045">
        <w:trPr>
          <w:trHeight w:val="262"/>
        </w:trPr>
        <w:tc>
          <w:tcPr>
            <w:tcW w:w="10495" w:type="dxa"/>
            <w:gridSpan w:val="6"/>
            <w:tcBorders>
              <w:top w:val="single" w:sz="4" w:space="0" w:color="000000"/>
              <w:left w:val="single" w:sz="4" w:space="0" w:color="000000"/>
              <w:bottom w:val="single" w:sz="4" w:space="0" w:color="000000"/>
              <w:right w:val="single" w:sz="4" w:space="0" w:color="000000"/>
            </w:tcBorders>
            <w:shd w:val="clear" w:color="auto" w:fill="A6A6A6"/>
          </w:tcPr>
          <w:p w14:paraId="71D7E4A9" w14:textId="77777777" w:rsidR="00FE0002" w:rsidRPr="00DA1FD8" w:rsidRDefault="00FE0002">
            <w:pPr>
              <w:rPr>
                <w:color w:val="auto"/>
              </w:rPr>
            </w:pPr>
            <w:r w:rsidRPr="00DA1FD8">
              <w:rPr>
                <w:rFonts w:ascii="Arial" w:eastAsia="Arial" w:hAnsi="Arial" w:cs="Arial"/>
                <w:b/>
                <w:color w:val="auto"/>
              </w:rPr>
              <w:t xml:space="preserve">Committees/groups where this item has been presented before </w:t>
            </w:r>
          </w:p>
        </w:tc>
      </w:tr>
      <w:tr w:rsidR="00FE0002" w14:paraId="55B2B3D3" w14:textId="77777777" w:rsidTr="00A85769">
        <w:tc>
          <w:tcPr>
            <w:tcW w:w="10495" w:type="dxa"/>
            <w:gridSpan w:val="6"/>
            <w:tcBorders>
              <w:top w:val="single" w:sz="4" w:space="0" w:color="000000"/>
              <w:left w:val="single" w:sz="4" w:space="0" w:color="000000"/>
              <w:bottom w:val="single" w:sz="4" w:space="0" w:color="000000"/>
              <w:right w:val="single" w:sz="4" w:space="0" w:color="000000"/>
            </w:tcBorders>
          </w:tcPr>
          <w:p w14:paraId="5DC04EB5" w14:textId="77777777" w:rsidR="00DA1FD8" w:rsidRPr="00DA1FD8" w:rsidRDefault="00DA1FD8" w:rsidP="00DA1FD8">
            <w:pPr>
              <w:rPr>
                <w:bCs/>
                <w:color w:val="auto"/>
              </w:rPr>
            </w:pPr>
            <w:r w:rsidRPr="00DA1FD8">
              <w:rPr>
                <w:bCs/>
                <w:color w:val="auto"/>
              </w:rPr>
              <w:t>Medical Devices and Capital Scrutiny Group</w:t>
            </w:r>
          </w:p>
          <w:p w14:paraId="07AB679D" w14:textId="0FC3988F" w:rsidR="00FE0002" w:rsidRPr="00DA1FD8" w:rsidRDefault="00FE0002" w:rsidP="00A14551">
            <w:pPr>
              <w:rPr>
                <w:color w:val="auto"/>
              </w:rPr>
            </w:pPr>
          </w:p>
        </w:tc>
      </w:tr>
      <w:tr w:rsidR="00FE0002" w14:paraId="59025521" w14:textId="77777777" w:rsidTr="000D7045">
        <w:trPr>
          <w:trHeight w:val="259"/>
        </w:trPr>
        <w:tc>
          <w:tcPr>
            <w:tcW w:w="10495" w:type="dxa"/>
            <w:gridSpan w:val="6"/>
            <w:tcBorders>
              <w:top w:val="single" w:sz="4" w:space="0" w:color="000000"/>
              <w:left w:val="single" w:sz="4" w:space="0" w:color="000000"/>
              <w:bottom w:val="single" w:sz="4" w:space="0" w:color="000000"/>
              <w:right w:val="single" w:sz="4" w:space="0" w:color="000000"/>
            </w:tcBorders>
            <w:shd w:val="clear" w:color="auto" w:fill="A6A6A6"/>
          </w:tcPr>
          <w:p w14:paraId="43A9828E" w14:textId="77777777" w:rsidR="00FE0002" w:rsidRDefault="00FE0002">
            <w:r>
              <w:rPr>
                <w:rFonts w:ascii="Arial" w:eastAsia="Arial" w:hAnsi="Arial" w:cs="Arial"/>
                <w:b/>
              </w:rPr>
              <w:t xml:space="preserve">Acronyms </w:t>
            </w:r>
            <w:r>
              <w:rPr>
                <w:rFonts w:ascii="Arial" w:eastAsia="Arial" w:hAnsi="Arial" w:cs="Arial"/>
                <w:color w:val="FF0000"/>
              </w:rPr>
              <w:t xml:space="preserve"> </w:t>
            </w:r>
          </w:p>
        </w:tc>
      </w:tr>
      <w:tr w:rsidR="00FE0002" w14:paraId="40287911" w14:textId="77777777" w:rsidTr="00A85769">
        <w:tc>
          <w:tcPr>
            <w:tcW w:w="10495" w:type="dxa"/>
            <w:gridSpan w:val="6"/>
            <w:tcBorders>
              <w:top w:val="single" w:sz="4" w:space="0" w:color="000000"/>
              <w:left w:val="single" w:sz="4" w:space="0" w:color="000000"/>
              <w:bottom w:val="single" w:sz="4" w:space="0" w:color="000000"/>
              <w:right w:val="single" w:sz="4" w:space="0" w:color="000000"/>
            </w:tcBorders>
          </w:tcPr>
          <w:p w14:paraId="4988C122" w14:textId="77777777" w:rsidR="00FE0002" w:rsidRPr="00535D94" w:rsidRDefault="00FE0002" w:rsidP="00535D94">
            <w:r>
              <w:t xml:space="preserve">OBTV - </w:t>
            </w:r>
            <w:r w:rsidRPr="00535D94">
              <w:t>Obstetric Trace Vue</w:t>
            </w:r>
          </w:p>
          <w:p w14:paraId="1E660FA4" w14:textId="77777777" w:rsidR="00FE0002" w:rsidRDefault="00FE0002">
            <w:r>
              <w:t xml:space="preserve">CTG – </w:t>
            </w:r>
            <w:r w:rsidRPr="00535D94">
              <w:t>cardiotocography</w:t>
            </w:r>
          </w:p>
          <w:p w14:paraId="4C72DBB2" w14:textId="77777777" w:rsidR="00FE0002" w:rsidRDefault="00FE0002">
            <w:r>
              <w:t>CYE – current year effect</w:t>
            </w:r>
          </w:p>
          <w:p w14:paraId="6D6322B0" w14:textId="77777777" w:rsidR="00FE0002" w:rsidRDefault="00FE0002">
            <w:r>
              <w:t>FYE – full year effect</w:t>
            </w:r>
          </w:p>
          <w:p w14:paraId="0F36B0C7" w14:textId="77777777" w:rsidR="00FE0002" w:rsidRDefault="00FE0002">
            <w:r>
              <w:t>FY – financial year</w:t>
            </w:r>
          </w:p>
        </w:tc>
      </w:tr>
      <w:tr w:rsidR="00FE0002" w14:paraId="3FA0A8BD" w14:textId="77777777" w:rsidTr="000D7045">
        <w:trPr>
          <w:trHeight w:val="260"/>
        </w:trPr>
        <w:tc>
          <w:tcPr>
            <w:tcW w:w="10495" w:type="dxa"/>
            <w:gridSpan w:val="6"/>
            <w:tcBorders>
              <w:top w:val="single" w:sz="4" w:space="0" w:color="000000"/>
              <w:left w:val="single" w:sz="4" w:space="0" w:color="000000"/>
              <w:bottom w:val="single" w:sz="4" w:space="0" w:color="000000"/>
              <w:right w:val="single" w:sz="4" w:space="0" w:color="000000"/>
            </w:tcBorders>
            <w:shd w:val="clear" w:color="auto" w:fill="A6A6A6"/>
          </w:tcPr>
          <w:p w14:paraId="6BB9528C" w14:textId="77777777" w:rsidR="00FE0002" w:rsidRDefault="00FE0002">
            <w:r>
              <w:rPr>
                <w:rFonts w:ascii="Arial" w:eastAsia="Arial" w:hAnsi="Arial" w:cs="Arial"/>
                <w:b/>
              </w:rPr>
              <w:t xml:space="preserve">Executive Summary </w:t>
            </w:r>
          </w:p>
        </w:tc>
      </w:tr>
      <w:tr w:rsidR="00FE0002" w14:paraId="40933937" w14:textId="77777777" w:rsidTr="00A85769">
        <w:tc>
          <w:tcPr>
            <w:tcW w:w="10495" w:type="dxa"/>
            <w:gridSpan w:val="6"/>
            <w:tcBorders>
              <w:top w:val="single" w:sz="4" w:space="0" w:color="000000"/>
              <w:left w:val="single" w:sz="4" w:space="0" w:color="000000"/>
              <w:bottom w:val="single" w:sz="4" w:space="0" w:color="000000"/>
              <w:right w:val="single" w:sz="4" w:space="0" w:color="000000"/>
            </w:tcBorders>
          </w:tcPr>
          <w:p w14:paraId="11763973" w14:textId="651FA6B6" w:rsidR="00FE0002" w:rsidRPr="00DA1FD8" w:rsidRDefault="00FE0002" w:rsidP="006658FF">
            <w:pPr>
              <w:rPr>
                <w:bCs/>
                <w:color w:val="auto"/>
              </w:rPr>
            </w:pPr>
            <w:r w:rsidRPr="00DA1FD8">
              <w:rPr>
                <w:bCs/>
                <w:color w:val="auto"/>
              </w:rPr>
              <w:t>This business case seeks approval to replace the obsolete OBTV monitoring system and ageing CTG equipment within maternity services at Antrim Hospital, including a contingency archiving solution for historical traces.</w:t>
            </w:r>
          </w:p>
          <w:p w14:paraId="7F869BA2" w14:textId="77777777" w:rsidR="00FE0002" w:rsidRPr="00DA1FD8" w:rsidRDefault="00FE0002" w:rsidP="00492E04">
            <w:pPr>
              <w:rPr>
                <w:bCs/>
                <w:color w:val="auto"/>
              </w:rPr>
            </w:pPr>
          </w:p>
          <w:p w14:paraId="6A0D9228" w14:textId="66549AB8" w:rsidR="00FE0002" w:rsidRPr="00DA1FD8" w:rsidRDefault="00FE0002" w:rsidP="00492E04">
            <w:pPr>
              <w:rPr>
                <w:color w:val="auto"/>
              </w:rPr>
            </w:pPr>
            <w:r w:rsidRPr="00DA1FD8">
              <w:rPr>
                <w:bCs/>
                <w:color w:val="auto"/>
              </w:rPr>
              <w:t>The OBTV system provides centralised</w:t>
            </w:r>
            <w:r w:rsidRPr="00DA1FD8">
              <w:rPr>
                <w:color w:val="auto"/>
              </w:rPr>
              <w:t>,</w:t>
            </w:r>
            <w:r w:rsidRPr="00DA1FD8">
              <w:rPr>
                <w:bCs/>
                <w:color w:val="auto"/>
              </w:rPr>
              <w:t xml:space="preserve"> real-time surveillance of CTG </w:t>
            </w:r>
            <w:r w:rsidRPr="00DA1FD8">
              <w:rPr>
                <w:color w:val="auto"/>
              </w:rPr>
              <w:t>traces, with</w:t>
            </w:r>
            <w:r w:rsidRPr="00DA1FD8">
              <w:rPr>
                <w:bCs/>
                <w:color w:val="auto"/>
              </w:rPr>
              <w:t xml:space="preserve"> audible and visible alerts to support timely clinical review and response. </w:t>
            </w:r>
            <w:r w:rsidRPr="00DA1FD8">
              <w:rPr>
                <w:color w:val="auto"/>
              </w:rPr>
              <w:t>It</w:t>
            </w:r>
            <w:r w:rsidRPr="00DA1FD8">
              <w:rPr>
                <w:bCs/>
                <w:color w:val="auto"/>
              </w:rPr>
              <w:t xml:space="preserve"> is currently linked to 26 CTG machines across </w:t>
            </w:r>
            <w:r w:rsidRPr="00DA1FD8">
              <w:rPr>
                <w:color w:val="auto"/>
              </w:rPr>
              <w:t>antenatal</w:t>
            </w:r>
            <w:r w:rsidRPr="00DA1FD8">
              <w:rPr>
                <w:bCs/>
                <w:color w:val="auto"/>
              </w:rPr>
              <w:t xml:space="preserve"> and intrapartum </w:t>
            </w:r>
            <w:r w:rsidRPr="00DA1FD8">
              <w:rPr>
                <w:color w:val="auto"/>
              </w:rPr>
              <w:t xml:space="preserve">services and </w:t>
            </w:r>
            <w:r w:rsidRPr="00DA1FD8">
              <w:rPr>
                <w:bCs/>
                <w:color w:val="auto"/>
              </w:rPr>
              <w:t>stores traces on optical media which can be accessed at any time.</w:t>
            </w:r>
          </w:p>
          <w:p w14:paraId="25ACEF8F" w14:textId="77777777" w:rsidR="00FE0002" w:rsidRPr="00DA1FD8" w:rsidRDefault="00FE0002" w:rsidP="00492E04">
            <w:pPr>
              <w:rPr>
                <w:bCs/>
                <w:color w:val="auto"/>
              </w:rPr>
            </w:pPr>
          </w:p>
          <w:p w14:paraId="3981CFA6" w14:textId="36B8312F" w:rsidR="00FE0002" w:rsidRPr="00DA1FD8" w:rsidRDefault="00FE0002" w:rsidP="00FE0002">
            <w:pPr>
              <w:rPr>
                <w:color w:val="auto"/>
              </w:rPr>
            </w:pPr>
            <w:r w:rsidRPr="00DA1FD8">
              <w:rPr>
                <w:bCs/>
                <w:color w:val="auto"/>
              </w:rPr>
              <w:t xml:space="preserve">The </w:t>
            </w:r>
            <w:r w:rsidRPr="00DA1FD8">
              <w:rPr>
                <w:color w:val="auto"/>
              </w:rPr>
              <w:t>current</w:t>
            </w:r>
            <w:r w:rsidRPr="00DA1FD8">
              <w:rPr>
                <w:bCs/>
                <w:color w:val="auto"/>
              </w:rPr>
              <w:t xml:space="preserve"> Philips OBTV system and CTG equipment are obsolete</w:t>
            </w:r>
            <w:r w:rsidRPr="00DA1FD8">
              <w:rPr>
                <w:color w:val="auto"/>
              </w:rPr>
              <w:t xml:space="preserve">, </w:t>
            </w:r>
            <w:r w:rsidRPr="00DA1FD8">
              <w:rPr>
                <w:bCs/>
                <w:color w:val="auto"/>
              </w:rPr>
              <w:t xml:space="preserve">unsupported and beyond their recommended lifespan at over 20 and 10 years old respectively. </w:t>
            </w:r>
            <w:r w:rsidRPr="00DA1FD8">
              <w:rPr>
                <w:color w:val="auto"/>
              </w:rPr>
              <w:t xml:space="preserve">Repairs are </w:t>
            </w:r>
            <w:r w:rsidRPr="00DA1FD8">
              <w:rPr>
                <w:bCs/>
                <w:color w:val="auto"/>
              </w:rPr>
              <w:t>increasingly difficult</w:t>
            </w:r>
            <w:r w:rsidRPr="00DA1FD8">
              <w:rPr>
                <w:color w:val="auto"/>
              </w:rPr>
              <w:t>, the</w:t>
            </w:r>
            <w:r w:rsidRPr="00DA1FD8">
              <w:rPr>
                <w:bCs/>
                <w:color w:val="auto"/>
              </w:rPr>
              <w:t xml:space="preserve"> system cannot be updated or </w:t>
            </w:r>
            <w:r w:rsidRPr="00DA1FD8">
              <w:rPr>
                <w:bCs/>
                <w:color w:val="auto"/>
              </w:rPr>
              <w:lastRenderedPageBreak/>
              <w:t xml:space="preserve">fully integrated with </w:t>
            </w:r>
            <w:r w:rsidRPr="00DA1FD8">
              <w:rPr>
                <w:color w:val="auto"/>
              </w:rPr>
              <w:t xml:space="preserve">EPIC, and </w:t>
            </w:r>
            <w:r w:rsidRPr="00DA1FD8">
              <w:rPr>
                <w:bCs/>
                <w:color w:val="auto"/>
              </w:rPr>
              <w:t>recovery</w:t>
            </w:r>
            <w:r w:rsidRPr="00DA1FD8">
              <w:rPr>
                <w:color w:val="auto"/>
              </w:rPr>
              <w:t xml:space="preserve"> of the </w:t>
            </w:r>
            <w:r w:rsidRPr="00DA1FD8">
              <w:rPr>
                <w:bCs/>
                <w:color w:val="auto"/>
              </w:rPr>
              <w:t xml:space="preserve">hardware, application </w:t>
            </w:r>
            <w:r w:rsidRPr="00DA1FD8">
              <w:rPr>
                <w:color w:val="auto"/>
              </w:rPr>
              <w:t>or</w:t>
            </w:r>
            <w:r w:rsidRPr="00DA1FD8">
              <w:rPr>
                <w:bCs/>
                <w:color w:val="auto"/>
              </w:rPr>
              <w:t xml:space="preserve"> archive</w:t>
            </w:r>
            <w:r w:rsidRPr="00DA1FD8">
              <w:rPr>
                <w:color w:val="auto"/>
              </w:rPr>
              <w:t xml:space="preserve"> cannot be assured in the event of failure.</w:t>
            </w:r>
          </w:p>
          <w:p w14:paraId="414ECB73" w14:textId="77777777" w:rsidR="00FE0002" w:rsidRPr="00DA1FD8" w:rsidRDefault="00FE0002" w:rsidP="00FE0002">
            <w:pPr>
              <w:rPr>
                <w:color w:val="auto"/>
              </w:rPr>
            </w:pPr>
          </w:p>
          <w:p w14:paraId="4407E726" w14:textId="59990C9B" w:rsidR="00FE0002" w:rsidRPr="00DA1FD8" w:rsidRDefault="00FE0002" w:rsidP="00FE0002">
            <w:pPr>
              <w:rPr>
                <w:color w:val="auto"/>
              </w:rPr>
            </w:pPr>
            <w:r w:rsidRPr="00DA1FD8">
              <w:rPr>
                <w:color w:val="auto"/>
              </w:rPr>
              <w:t>Replacement is therefore required to mitigate</w:t>
            </w:r>
            <w:r w:rsidRPr="00DA1FD8">
              <w:rPr>
                <w:bCs/>
                <w:color w:val="auto"/>
              </w:rPr>
              <w:t xml:space="preserve"> significant clinical, digital, safety and governance risks</w:t>
            </w:r>
            <w:r w:rsidRPr="00DA1FD8">
              <w:rPr>
                <w:color w:val="auto"/>
              </w:rPr>
              <w:t xml:space="preserve"> and ensure compliance</w:t>
            </w:r>
            <w:r w:rsidRPr="00DA1FD8">
              <w:rPr>
                <w:bCs/>
                <w:color w:val="auto"/>
              </w:rPr>
              <w:t xml:space="preserve"> with manufacturer guidance.</w:t>
            </w:r>
            <w:r w:rsidR="007A0A5A">
              <w:rPr>
                <w:bCs/>
                <w:color w:val="auto"/>
              </w:rPr>
              <w:t xml:space="preserve"> </w:t>
            </w:r>
          </w:p>
          <w:p w14:paraId="63844812" w14:textId="7E3B8075" w:rsidR="00FE0002" w:rsidRDefault="00FE0002" w:rsidP="00CD1101"/>
          <w:p w14:paraId="775ABCF4" w14:textId="77777777" w:rsidR="006360A3" w:rsidRDefault="006360A3" w:rsidP="00CD1101"/>
          <w:p w14:paraId="64CDB460" w14:textId="5E22C7E0" w:rsidR="00FE0002" w:rsidRPr="00CD1101" w:rsidRDefault="00FE0002" w:rsidP="00CD1101">
            <w:r>
              <w:t>Business case options:</w:t>
            </w:r>
          </w:p>
          <w:p w14:paraId="428DBEE9" w14:textId="77777777" w:rsidR="00FE0002" w:rsidRPr="00CD1101" w:rsidRDefault="00FE0002" w:rsidP="00CD1101">
            <w:pPr>
              <w:pStyle w:val="ListParagraph"/>
              <w:numPr>
                <w:ilvl w:val="0"/>
                <w:numId w:val="3"/>
              </w:numPr>
            </w:pPr>
            <w:r w:rsidRPr="00CD1101">
              <w:t>Status Quo – business as usual</w:t>
            </w:r>
          </w:p>
          <w:p w14:paraId="52E1CA08" w14:textId="77777777" w:rsidR="00FE0002" w:rsidRPr="00492E04" w:rsidRDefault="00FE0002" w:rsidP="00492E04">
            <w:pPr>
              <w:pStyle w:val="ListParagraph"/>
              <w:numPr>
                <w:ilvl w:val="0"/>
                <w:numId w:val="3"/>
              </w:numPr>
            </w:pPr>
            <w:r w:rsidRPr="00492E04">
              <w:t>Option 2 – Replace obstetric monitoring system only: Purchase a new obstetric monitoring system with contingency arrangements for historical information. This option was rejected as it would not address the risks associated with ageing CTG equipment and could result in poor monitoring feeds and service disruption.</w:t>
            </w:r>
          </w:p>
          <w:p w14:paraId="0E2E8AE9" w14:textId="77777777" w:rsidR="00FE0002" w:rsidRPr="00FE0002" w:rsidRDefault="00FE0002" w:rsidP="00492E04">
            <w:pPr>
              <w:pStyle w:val="ListParagraph"/>
              <w:numPr>
                <w:ilvl w:val="0"/>
                <w:numId w:val="3"/>
              </w:numPr>
              <w:rPr>
                <w:b/>
                <w:bCs/>
              </w:rPr>
            </w:pPr>
            <w:r w:rsidRPr="00492E04">
              <w:t>Option 3 – Full replacement: Purchase replacement CTG equipment</w:t>
            </w:r>
            <w:r>
              <w:t xml:space="preserve"> (26 machines plus an additional 2 roaming machines)</w:t>
            </w:r>
            <w:r w:rsidRPr="00492E04">
              <w:t xml:space="preserve"> and a new obstetric monitoring system, with contingency arrangements for historical information. </w:t>
            </w:r>
          </w:p>
          <w:p w14:paraId="03757F7A" w14:textId="18FDDD62" w:rsidR="00FA4932" w:rsidRPr="00FA4932" w:rsidRDefault="006360A3" w:rsidP="00FA4932">
            <w:pPr>
              <w:pStyle w:val="ListParagraph"/>
              <w:rPr>
                <w:b/>
                <w:bCs/>
              </w:rPr>
            </w:pPr>
            <w:r>
              <w:rPr>
                <w:b/>
                <w:bCs/>
              </w:rPr>
              <w:t>T</w:t>
            </w:r>
            <w:r w:rsidR="00FA4932" w:rsidRPr="00FA4932">
              <w:rPr>
                <w:b/>
                <w:bCs/>
              </w:rPr>
              <w:t xml:space="preserve">his is the preferred option as it provides supported, reliable equipment; improves </w:t>
            </w:r>
            <w:proofErr w:type="spellStart"/>
            <w:r w:rsidR="00FA4932" w:rsidRPr="00FA4932">
              <w:rPr>
                <w:b/>
                <w:bCs/>
              </w:rPr>
              <w:t>fetal</w:t>
            </w:r>
            <w:proofErr w:type="spellEnd"/>
            <w:r w:rsidR="00FA4932" w:rsidRPr="00FA4932">
              <w:rPr>
                <w:b/>
                <w:bCs/>
              </w:rPr>
              <w:t xml:space="preserve"> monitoring, clinical review and access to records; supports compliance with records management legislation; and enables safe, effective care for antenatal patients.</w:t>
            </w:r>
          </w:p>
          <w:p w14:paraId="047798E5" w14:textId="77777777" w:rsidR="00FE0002" w:rsidRDefault="00FE0002" w:rsidP="006649DD"/>
          <w:p w14:paraId="7B312ECD" w14:textId="77777777" w:rsidR="00FE0002" w:rsidRDefault="00FE0002" w:rsidP="00957994">
            <w:r>
              <w:t>Capital Funding:</w:t>
            </w:r>
          </w:p>
          <w:p w14:paraId="28DD75B8" w14:textId="77777777" w:rsidR="00FE0002" w:rsidRDefault="00FE0002" w:rsidP="00957994">
            <w:r>
              <w:t>Total capital funding required is £518,462.  This will be funded in full by G</w:t>
            </w:r>
            <w:r w:rsidRPr="00C67EEE">
              <w:t xml:space="preserve">eneral </w:t>
            </w:r>
            <w:r>
              <w:t>C</w:t>
            </w:r>
            <w:r w:rsidRPr="00C67EEE">
              <w:t xml:space="preserve">apital </w:t>
            </w:r>
            <w:r>
              <w:t>M</w:t>
            </w:r>
            <w:r w:rsidRPr="00C67EEE">
              <w:t xml:space="preserve">edical </w:t>
            </w:r>
            <w:r>
              <w:t>D</w:t>
            </w:r>
            <w:r w:rsidRPr="00C67EEE">
              <w:t>evices 2026/27</w:t>
            </w:r>
            <w:r>
              <w:t>.</w:t>
            </w:r>
          </w:p>
          <w:p w14:paraId="52F9E870" w14:textId="77777777" w:rsidR="00FE0002" w:rsidRDefault="00FE0002" w:rsidP="00957994"/>
          <w:p w14:paraId="5856ED4C" w14:textId="77777777" w:rsidR="00FE0002" w:rsidRDefault="00FE0002" w:rsidP="00B13539">
            <w:r>
              <w:t xml:space="preserve">Revenue costs: </w:t>
            </w:r>
          </w:p>
          <w:p w14:paraId="19DA69EF" w14:textId="77777777" w:rsidR="00FE0002" w:rsidRDefault="00FE0002" w:rsidP="00B13539">
            <w:pPr>
              <w:pStyle w:val="ListParagraph"/>
              <w:numPr>
                <w:ilvl w:val="0"/>
                <w:numId w:val="6"/>
              </w:numPr>
            </w:pPr>
            <w:r>
              <w:t>CYE revenue costs of £14,980 with CYE savings of £1,275 25/06 FY</w:t>
            </w:r>
          </w:p>
          <w:p w14:paraId="6B1EA9D2" w14:textId="77777777" w:rsidR="00FE0002" w:rsidRDefault="00FE0002" w:rsidP="00B13539">
            <w:pPr>
              <w:pStyle w:val="ListParagraph"/>
              <w:numPr>
                <w:ilvl w:val="0"/>
                <w:numId w:val="6"/>
              </w:numPr>
            </w:pPr>
            <w:r>
              <w:t xml:space="preserve">FYE recurrent annual costs of £13,195 to be </w:t>
            </w:r>
            <w:proofErr w:type="gramStart"/>
            <w:r>
              <w:t>off-set</w:t>
            </w:r>
            <w:proofErr w:type="gramEnd"/>
            <w:r>
              <w:t xml:space="preserve"> by savings of £16,255 on repairs </w:t>
            </w:r>
          </w:p>
          <w:p w14:paraId="1265DFBE" w14:textId="77777777" w:rsidR="00FE0002" w:rsidRPr="00B13539" w:rsidRDefault="00FE0002" w:rsidP="00B13539">
            <w:pPr>
              <w:pStyle w:val="ListParagraph"/>
              <w:numPr>
                <w:ilvl w:val="0"/>
                <w:numId w:val="6"/>
              </w:numPr>
            </w:pPr>
            <w:r>
              <w:t>Savings of £3,060 per annum from 27.28 FY onwards.</w:t>
            </w:r>
          </w:p>
          <w:p w14:paraId="694538A3" w14:textId="77777777" w:rsidR="00FE0002" w:rsidRDefault="00FE0002" w:rsidP="00B13539">
            <w:pPr>
              <w:rPr>
                <w:bCs/>
                <w:color w:val="FF0000"/>
              </w:rPr>
            </w:pPr>
          </w:p>
          <w:p w14:paraId="1F9AC365" w14:textId="685C1FC3" w:rsidR="00FE0002" w:rsidRDefault="007A0A5A" w:rsidP="00957994">
            <w:r>
              <w:t>Business case has been categorised as “</w:t>
            </w:r>
            <w:r w:rsidRPr="007A0A5A">
              <w:rPr>
                <w:i/>
                <w:iCs/>
              </w:rPr>
              <w:t>Straightforward and low risk proposals, including business as usual and repeat expenditure</w:t>
            </w:r>
            <w:r>
              <w:t xml:space="preserve">” </w:t>
            </w:r>
            <w:r w:rsidRPr="007A0A5A">
              <w:t>as it is a replacement of the current equipment, an upgrade of current monitor and CTGS that need replaced thus falls into a low -risk project</w:t>
            </w:r>
          </w:p>
          <w:p w14:paraId="4CD6FFEF" w14:textId="77777777" w:rsidR="007A0A5A" w:rsidRDefault="007A0A5A" w:rsidP="00957994"/>
          <w:p w14:paraId="0F46CF0A" w14:textId="77777777" w:rsidR="00FE0002" w:rsidRPr="00957994" w:rsidRDefault="00FE0002" w:rsidP="00957994">
            <w:pPr>
              <w:rPr>
                <w:b/>
              </w:rPr>
            </w:pPr>
            <w:r w:rsidRPr="00957994">
              <w:rPr>
                <w:b/>
              </w:rPr>
              <w:t xml:space="preserve">This briefing paper seeks Trust Board approval to proceed with Option </w:t>
            </w:r>
            <w:r>
              <w:rPr>
                <w:b/>
              </w:rPr>
              <w:t>3</w:t>
            </w:r>
            <w:r w:rsidRPr="00957994">
              <w:rPr>
                <w:b/>
              </w:rPr>
              <w:t xml:space="preserve"> upon receipt of capital allocation.</w:t>
            </w:r>
          </w:p>
          <w:p w14:paraId="2A8161D7" w14:textId="77777777" w:rsidR="00FE0002" w:rsidRDefault="00FE0002" w:rsidP="00957994"/>
        </w:tc>
      </w:tr>
    </w:tbl>
    <w:p w14:paraId="7C4984F4" w14:textId="77777777" w:rsidR="0011595C" w:rsidRDefault="007E4F61" w:rsidP="007E4F61">
      <w:pPr>
        <w:tabs>
          <w:tab w:val="left" w:pos="3320"/>
          <w:tab w:val="left" w:pos="3930"/>
        </w:tabs>
        <w:spacing w:after="10350"/>
      </w:pPr>
      <w:r>
        <w:lastRenderedPageBreak/>
        <w:tab/>
      </w:r>
      <w:r>
        <w:tab/>
      </w:r>
    </w:p>
    <w:sectPr w:rsidR="0011595C" w:rsidSect="000D7045">
      <w:headerReference w:type="default" r:id="rId8"/>
      <w:footerReference w:type="default" r:id="rId9"/>
      <w:pgSz w:w="11906" w:h="16838"/>
      <w:pgMar w:top="709" w:right="1134" w:bottom="709" w:left="1134" w:header="56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F697" w14:textId="77777777" w:rsidR="009F53F7" w:rsidRDefault="009F53F7" w:rsidP="00DD1052">
      <w:pPr>
        <w:spacing w:after="0" w:line="240" w:lineRule="auto"/>
      </w:pPr>
      <w:r>
        <w:separator/>
      </w:r>
    </w:p>
  </w:endnote>
  <w:endnote w:type="continuationSeparator" w:id="0">
    <w:p w14:paraId="2FE99813" w14:textId="77777777" w:rsidR="009F53F7" w:rsidRDefault="009F53F7" w:rsidP="00DD1052">
      <w:pPr>
        <w:spacing w:after="0" w:line="240" w:lineRule="auto"/>
      </w:pPr>
      <w:r>
        <w:continuationSeparator/>
      </w:r>
    </w:p>
  </w:endnote>
  <w:endnote w:type="continuationNotice" w:id="1">
    <w:p w14:paraId="3F0ED686" w14:textId="77777777" w:rsidR="009F53F7" w:rsidRDefault="009F5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1F85" w14:textId="77777777" w:rsidR="007C4F0A" w:rsidRDefault="000D7045" w:rsidP="000D7045">
    <w:pPr>
      <w:pStyle w:val="Footer"/>
      <w:ind w:right="-3593"/>
      <w:rPr>
        <w:i/>
      </w:rPr>
    </w:pPr>
    <w:r w:rsidRPr="007C4F0A">
      <w:rPr>
        <w:i/>
      </w:rPr>
      <w:t>We provide compassionate care with our community, in our</w:t>
    </w:r>
    <w:r>
      <w:rPr>
        <w:i/>
      </w:rPr>
      <w:t xml:space="preserve"> community</w:t>
    </w:r>
  </w:p>
  <w:p w14:paraId="408734BE" w14:textId="77777777" w:rsidR="00F958DF" w:rsidRDefault="00F958DF" w:rsidP="000D7045">
    <w:pPr>
      <w:pStyle w:val="Footer"/>
      <w:ind w:right="-3593"/>
      <w:rPr>
        <w:i/>
      </w:rPr>
    </w:pPr>
  </w:p>
  <w:tbl>
    <w:tblPr>
      <w:tblStyle w:val="TableGrid0"/>
      <w:tblW w:w="0" w:type="auto"/>
      <w:tblLook w:val="04A0" w:firstRow="1" w:lastRow="0" w:firstColumn="1" w:lastColumn="0" w:noHBand="0" w:noVBand="1"/>
    </w:tblPr>
    <w:tblGrid>
      <w:gridCol w:w="3119"/>
      <w:gridCol w:w="6509"/>
    </w:tblGrid>
    <w:tr w:rsidR="00F958DF" w14:paraId="2E7E67B3" w14:textId="77777777" w:rsidTr="00F958DF">
      <w:tc>
        <w:tcPr>
          <w:tcW w:w="3119" w:type="dxa"/>
          <w:tcBorders>
            <w:top w:val="nil"/>
            <w:left w:val="nil"/>
            <w:bottom w:val="nil"/>
            <w:right w:val="nil"/>
          </w:tcBorders>
        </w:tcPr>
        <w:p w14:paraId="1DFF2794" w14:textId="77777777" w:rsidR="00F958DF" w:rsidRDefault="00F958DF" w:rsidP="000D7045">
          <w:pPr>
            <w:pStyle w:val="Footer"/>
            <w:ind w:right="-3593"/>
          </w:pPr>
          <w:r>
            <w:t>Trust Board Reference Number:</w:t>
          </w:r>
        </w:p>
      </w:tc>
      <w:tc>
        <w:tcPr>
          <w:tcW w:w="6509" w:type="dxa"/>
          <w:tcBorders>
            <w:top w:val="nil"/>
            <w:left w:val="nil"/>
            <w:bottom w:val="nil"/>
            <w:right w:val="nil"/>
          </w:tcBorders>
        </w:tcPr>
        <w:p w14:paraId="609E2856" w14:textId="7DA056E7" w:rsidR="00F958DF" w:rsidRDefault="00C82F07" w:rsidP="000D7045">
          <w:pPr>
            <w:pStyle w:val="Footer"/>
            <w:ind w:right="-3593"/>
          </w:pPr>
          <w:r>
            <w:t>TB172/14/I</w:t>
          </w:r>
        </w:p>
      </w:tc>
    </w:tr>
  </w:tbl>
  <w:p w14:paraId="425D0C8D" w14:textId="77777777" w:rsidR="00F958DF" w:rsidRDefault="00F958DF" w:rsidP="000D7045">
    <w:pPr>
      <w:pStyle w:val="Footer"/>
      <w:ind w:right="-35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8657B" w14:textId="77777777" w:rsidR="009F53F7" w:rsidRDefault="009F53F7" w:rsidP="00DD1052">
      <w:pPr>
        <w:spacing w:after="0" w:line="240" w:lineRule="auto"/>
      </w:pPr>
      <w:r>
        <w:separator/>
      </w:r>
    </w:p>
  </w:footnote>
  <w:footnote w:type="continuationSeparator" w:id="0">
    <w:p w14:paraId="14F7DB0B" w14:textId="77777777" w:rsidR="009F53F7" w:rsidRDefault="009F53F7" w:rsidP="00DD1052">
      <w:pPr>
        <w:spacing w:after="0" w:line="240" w:lineRule="auto"/>
      </w:pPr>
      <w:r>
        <w:continuationSeparator/>
      </w:r>
    </w:p>
  </w:footnote>
  <w:footnote w:type="continuationNotice" w:id="1">
    <w:p w14:paraId="6B1421C3" w14:textId="77777777" w:rsidR="009F53F7" w:rsidRDefault="009F53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C1E8" w14:textId="77777777" w:rsidR="00DD1052" w:rsidRDefault="000D7045" w:rsidP="007C4F0A">
    <w:pPr>
      <w:pStyle w:val="Header"/>
    </w:pPr>
    <w:r>
      <w:rPr>
        <w:i/>
        <w:noProof/>
      </w:rPr>
      <w:drawing>
        <wp:anchor distT="0" distB="0" distL="114300" distR="114300" simplePos="0" relativeHeight="251657728" behindDoc="0" locked="0" layoutInCell="1" allowOverlap="1" wp14:anchorId="7E9AD451" wp14:editId="14D0143A">
          <wp:simplePos x="0" y="0"/>
          <wp:positionH relativeFrom="column">
            <wp:posOffset>-433705</wp:posOffset>
          </wp:positionH>
          <wp:positionV relativeFrom="paragraph">
            <wp:posOffset>-169545</wp:posOffset>
          </wp:positionV>
          <wp:extent cx="3659505" cy="3676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C.PNG"/>
                  <pic:cNvPicPr/>
                </pic:nvPicPr>
                <pic:blipFill>
                  <a:blip r:embed="rId1">
                    <a:extLst>
                      <a:ext uri="{28A0092B-C50C-407E-A947-70E740481C1C}">
                        <a14:useLocalDpi xmlns:a14="http://schemas.microsoft.com/office/drawing/2010/main" val="0"/>
                      </a:ext>
                    </a:extLst>
                  </a:blip>
                  <a:stretch>
                    <a:fillRect/>
                  </a:stretch>
                </pic:blipFill>
                <pic:spPr>
                  <a:xfrm>
                    <a:off x="0" y="0"/>
                    <a:ext cx="3659505" cy="367665"/>
                  </a:xfrm>
                  <a:prstGeom prst="rect">
                    <a:avLst/>
                  </a:prstGeom>
                </pic:spPr>
              </pic:pic>
            </a:graphicData>
          </a:graphic>
          <wp14:sizeRelH relativeFrom="page">
            <wp14:pctWidth>0</wp14:pctWidth>
          </wp14:sizeRelH>
          <wp14:sizeRelV relativeFrom="page">
            <wp14:pctHeight>0</wp14:pctHeight>
          </wp14:sizeRelV>
        </wp:anchor>
      </w:drawing>
    </w:r>
    <w:r w:rsidR="00DD1052" w:rsidRPr="007C4F0A">
      <w:rPr>
        <w:i/>
        <w:noProof/>
      </w:rPr>
      <w:drawing>
        <wp:anchor distT="0" distB="0" distL="114300" distR="114300" simplePos="0" relativeHeight="251656704" behindDoc="0" locked="0" layoutInCell="1" allowOverlap="1" wp14:anchorId="0DA49EA9" wp14:editId="7F676599">
          <wp:simplePos x="0" y="0"/>
          <wp:positionH relativeFrom="column">
            <wp:posOffset>4004945</wp:posOffset>
          </wp:positionH>
          <wp:positionV relativeFrom="paragraph">
            <wp:posOffset>-241300</wp:posOffset>
          </wp:positionV>
          <wp:extent cx="2642616" cy="478536"/>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CT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42616" cy="4785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2D7"/>
    <w:multiLevelType w:val="hybridMultilevel"/>
    <w:tmpl w:val="6690F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F018BD"/>
    <w:multiLevelType w:val="hybridMultilevel"/>
    <w:tmpl w:val="7A74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B420F"/>
    <w:multiLevelType w:val="hybridMultilevel"/>
    <w:tmpl w:val="FB0C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40419A"/>
    <w:multiLevelType w:val="hybridMultilevel"/>
    <w:tmpl w:val="E19E2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A40B3F"/>
    <w:multiLevelType w:val="hybridMultilevel"/>
    <w:tmpl w:val="3D94D7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E1131C6"/>
    <w:multiLevelType w:val="hybridMultilevel"/>
    <w:tmpl w:val="912E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078482">
    <w:abstractNumId w:val="5"/>
  </w:num>
  <w:num w:numId="2" w16cid:durableId="847984333">
    <w:abstractNumId w:val="4"/>
  </w:num>
  <w:num w:numId="3" w16cid:durableId="1702049500">
    <w:abstractNumId w:val="2"/>
  </w:num>
  <w:num w:numId="4" w16cid:durableId="1969192539">
    <w:abstractNumId w:val="0"/>
  </w:num>
  <w:num w:numId="5" w16cid:durableId="619413008">
    <w:abstractNumId w:val="3"/>
  </w:num>
  <w:num w:numId="6" w16cid:durableId="1287395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5C"/>
    <w:rsid w:val="00022A13"/>
    <w:rsid w:val="000424D0"/>
    <w:rsid w:val="000521F7"/>
    <w:rsid w:val="000729CA"/>
    <w:rsid w:val="000751E7"/>
    <w:rsid w:val="000D7045"/>
    <w:rsid w:val="0011595C"/>
    <w:rsid w:val="001810D3"/>
    <w:rsid w:val="00193BD7"/>
    <w:rsid w:val="001C004B"/>
    <w:rsid w:val="00204D73"/>
    <w:rsid w:val="00210704"/>
    <w:rsid w:val="002616D6"/>
    <w:rsid w:val="002A7AFC"/>
    <w:rsid w:val="002B1B0C"/>
    <w:rsid w:val="002E0824"/>
    <w:rsid w:val="002F481F"/>
    <w:rsid w:val="00316798"/>
    <w:rsid w:val="00325D4A"/>
    <w:rsid w:val="003C1271"/>
    <w:rsid w:val="003D3C37"/>
    <w:rsid w:val="00415530"/>
    <w:rsid w:val="00450171"/>
    <w:rsid w:val="00492E04"/>
    <w:rsid w:val="00515D7B"/>
    <w:rsid w:val="00535D94"/>
    <w:rsid w:val="00552B46"/>
    <w:rsid w:val="00602DD7"/>
    <w:rsid w:val="00622286"/>
    <w:rsid w:val="006360A3"/>
    <w:rsid w:val="006649DD"/>
    <w:rsid w:val="006658FF"/>
    <w:rsid w:val="006B6C8F"/>
    <w:rsid w:val="006E569F"/>
    <w:rsid w:val="006F5C7F"/>
    <w:rsid w:val="006F7DD7"/>
    <w:rsid w:val="007A0A5A"/>
    <w:rsid w:val="007C4F0A"/>
    <w:rsid w:val="007E4685"/>
    <w:rsid w:val="007E4F61"/>
    <w:rsid w:val="00834E9B"/>
    <w:rsid w:val="008431F1"/>
    <w:rsid w:val="0088364D"/>
    <w:rsid w:val="0089077B"/>
    <w:rsid w:val="008C052D"/>
    <w:rsid w:val="008D73C0"/>
    <w:rsid w:val="0090392B"/>
    <w:rsid w:val="00925326"/>
    <w:rsid w:val="00937764"/>
    <w:rsid w:val="00957994"/>
    <w:rsid w:val="00982C7A"/>
    <w:rsid w:val="009F53F7"/>
    <w:rsid w:val="00A14551"/>
    <w:rsid w:val="00A352CD"/>
    <w:rsid w:val="00A35E58"/>
    <w:rsid w:val="00A57606"/>
    <w:rsid w:val="00A832F5"/>
    <w:rsid w:val="00A85769"/>
    <w:rsid w:val="00AA6DB5"/>
    <w:rsid w:val="00B13539"/>
    <w:rsid w:val="00B13900"/>
    <w:rsid w:val="00B52CF9"/>
    <w:rsid w:val="00B71C5C"/>
    <w:rsid w:val="00BA4F72"/>
    <w:rsid w:val="00C24023"/>
    <w:rsid w:val="00C61179"/>
    <w:rsid w:val="00C671C6"/>
    <w:rsid w:val="00C67EEE"/>
    <w:rsid w:val="00C82F07"/>
    <w:rsid w:val="00CD1101"/>
    <w:rsid w:val="00CF0FA1"/>
    <w:rsid w:val="00D97865"/>
    <w:rsid w:val="00DA1FD8"/>
    <w:rsid w:val="00DC2715"/>
    <w:rsid w:val="00DD1052"/>
    <w:rsid w:val="00DE4714"/>
    <w:rsid w:val="00E064F0"/>
    <w:rsid w:val="00E22060"/>
    <w:rsid w:val="00E42A0C"/>
    <w:rsid w:val="00E63442"/>
    <w:rsid w:val="00F24CF4"/>
    <w:rsid w:val="00F30BFB"/>
    <w:rsid w:val="00F32453"/>
    <w:rsid w:val="00F326CC"/>
    <w:rsid w:val="00F32CCE"/>
    <w:rsid w:val="00F958DF"/>
    <w:rsid w:val="00FA4932"/>
    <w:rsid w:val="00FE0002"/>
    <w:rsid w:val="00FF0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79BB"/>
  <w15:docId w15:val="{64A87DB0-274E-4802-8381-DCA96098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D1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052"/>
    <w:rPr>
      <w:rFonts w:ascii="Calibri" w:eastAsia="Calibri" w:hAnsi="Calibri" w:cs="Calibri"/>
      <w:color w:val="000000"/>
    </w:rPr>
  </w:style>
  <w:style w:type="paragraph" w:styleId="Footer">
    <w:name w:val="footer"/>
    <w:basedOn w:val="Normal"/>
    <w:link w:val="FooterChar"/>
    <w:uiPriority w:val="99"/>
    <w:unhideWhenUsed/>
    <w:rsid w:val="00DD1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052"/>
    <w:rPr>
      <w:rFonts w:ascii="Calibri" w:eastAsia="Calibri" w:hAnsi="Calibri" w:cs="Calibri"/>
      <w:color w:val="000000"/>
    </w:rPr>
  </w:style>
  <w:style w:type="paragraph" w:customStyle="1" w:styleId="CPDsheettitle">
    <w:name w:val="CPD sheet title"/>
    <w:basedOn w:val="Normal"/>
    <w:rsid w:val="007C4F0A"/>
    <w:pPr>
      <w:widowControl w:val="0"/>
      <w:spacing w:after="0" w:line="260" w:lineRule="atLeast"/>
      <w:ind w:left="360" w:right="360"/>
      <w:jc w:val="center"/>
    </w:pPr>
    <w:rPr>
      <w:rFonts w:ascii="Arial" w:eastAsia="Times New Roman" w:hAnsi="Arial" w:cs="Times New Roman"/>
      <w:b/>
      <w:color w:val="auto"/>
      <w:sz w:val="24"/>
      <w:szCs w:val="20"/>
    </w:rPr>
  </w:style>
  <w:style w:type="table" w:styleId="TableGrid0">
    <w:name w:val="Table Grid"/>
    <w:basedOn w:val="TableNormal"/>
    <w:uiPriority w:val="39"/>
    <w:rsid w:val="00F9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0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04"/>
    <w:rPr>
      <w:rFonts w:ascii="Segoe UI" w:eastAsia="Calibri" w:hAnsi="Segoe UI" w:cs="Segoe UI"/>
      <w:color w:val="000000"/>
      <w:sz w:val="18"/>
      <w:szCs w:val="18"/>
    </w:rPr>
  </w:style>
  <w:style w:type="paragraph" w:styleId="Revision">
    <w:name w:val="Revision"/>
    <w:hidden/>
    <w:uiPriority w:val="99"/>
    <w:semiHidden/>
    <w:rsid w:val="003D3C37"/>
    <w:pPr>
      <w:spacing w:after="0" w:line="240" w:lineRule="auto"/>
    </w:pPr>
    <w:rPr>
      <w:rFonts w:ascii="Calibri" w:eastAsia="Calibri" w:hAnsi="Calibri" w:cs="Calibri"/>
      <w:color w:val="000000"/>
    </w:rPr>
  </w:style>
  <w:style w:type="paragraph" w:styleId="ListParagraph">
    <w:name w:val="List Paragraph"/>
    <w:basedOn w:val="Normal"/>
    <w:uiPriority w:val="34"/>
    <w:qFormat/>
    <w:rsid w:val="00552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0E2F5-DDA4-4C18-8574-CA9ADEC49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NHSCT</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Services</dc:creator>
  <cp:keywords/>
  <cp:lastModifiedBy>Karen OKane (NHSCT)</cp:lastModifiedBy>
  <cp:revision>2</cp:revision>
  <cp:lastPrinted>2024-10-07T12:30:00Z</cp:lastPrinted>
  <dcterms:created xsi:type="dcterms:W3CDTF">2026-07-03T10:52:00Z</dcterms:created>
  <dcterms:modified xsi:type="dcterms:W3CDTF">2026-07-03T10:52:00Z</dcterms:modified>
</cp:coreProperties>
</file>