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937E5" w14:textId="77777777" w:rsidR="003714CB" w:rsidRDefault="00F260FB" w:rsidP="003714CB">
      <w:pPr>
        <w:spacing w:after="0"/>
        <w:ind w:left="0" w:firstLine="0"/>
        <w:jc w:val="center"/>
        <w:rPr>
          <w:b/>
        </w:rPr>
      </w:pPr>
      <w:r>
        <w:rPr>
          <w:b/>
        </w:rPr>
        <w:t>Northern Health and Social Care Trust</w:t>
      </w:r>
    </w:p>
    <w:p w14:paraId="42522D60" w14:textId="2F8D46EC" w:rsidR="007A5124" w:rsidRDefault="003714CB" w:rsidP="003714CB">
      <w:pPr>
        <w:spacing w:after="0"/>
        <w:ind w:left="0" w:firstLine="0"/>
        <w:jc w:val="center"/>
        <w:rPr>
          <w:b/>
        </w:rPr>
      </w:pPr>
      <w:r>
        <w:rPr>
          <w:b/>
        </w:rPr>
        <w:t xml:space="preserve">Cover Sheet for Reports to the </w:t>
      </w:r>
      <w:r w:rsidR="00854ABF">
        <w:rPr>
          <w:b/>
        </w:rPr>
        <w:t>Trust Board</w:t>
      </w:r>
    </w:p>
    <w:p w14:paraId="65A385E7" w14:textId="77777777" w:rsidR="007A5124" w:rsidRDefault="007A5124" w:rsidP="007F3CEA">
      <w:pPr>
        <w:spacing w:after="0"/>
        <w:ind w:left="0" w:firstLine="0"/>
        <w:jc w:val="center"/>
        <w:rPr>
          <w:b/>
        </w:rPr>
      </w:pPr>
    </w:p>
    <w:tbl>
      <w:tblPr>
        <w:tblStyle w:val="TableGrid1"/>
        <w:tblW w:w="10495" w:type="dxa"/>
        <w:tblInd w:w="-427" w:type="dxa"/>
        <w:tblCellMar>
          <w:top w:w="10" w:type="dxa"/>
          <w:left w:w="108" w:type="dxa"/>
          <w:right w:w="45" w:type="dxa"/>
        </w:tblCellMar>
        <w:tblLook w:val="04A0" w:firstRow="1" w:lastRow="0" w:firstColumn="1" w:lastColumn="0" w:noHBand="0" w:noVBand="1"/>
      </w:tblPr>
      <w:tblGrid>
        <w:gridCol w:w="2226"/>
        <w:gridCol w:w="1328"/>
        <w:gridCol w:w="1812"/>
        <w:gridCol w:w="994"/>
        <w:gridCol w:w="669"/>
        <w:gridCol w:w="3466"/>
      </w:tblGrid>
      <w:tr w:rsidR="00FE1A71" w:rsidRPr="007A5124" w14:paraId="61450564" w14:textId="77777777" w:rsidTr="003714CB">
        <w:trPr>
          <w:trHeight w:val="515"/>
        </w:trPr>
        <w:tc>
          <w:tcPr>
            <w:tcW w:w="2226" w:type="dxa"/>
            <w:tcBorders>
              <w:top w:val="single" w:sz="4" w:space="0" w:color="000000"/>
              <w:left w:val="single" w:sz="4" w:space="0" w:color="000000"/>
              <w:bottom w:val="single" w:sz="4" w:space="0" w:color="000000"/>
              <w:right w:val="single" w:sz="4" w:space="0" w:color="000000"/>
            </w:tcBorders>
            <w:shd w:val="clear" w:color="auto" w:fill="BFBFBF"/>
          </w:tcPr>
          <w:p w14:paraId="4D54DA71" w14:textId="77777777" w:rsidR="00FE1A71" w:rsidRPr="007A5124" w:rsidRDefault="00FE1A71" w:rsidP="007A5124">
            <w:pPr>
              <w:spacing w:after="0" w:line="240" w:lineRule="auto"/>
              <w:ind w:left="0" w:firstLine="0"/>
              <w:rPr>
                <w:b/>
                <w:sz w:val="22"/>
              </w:rPr>
            </w:pPr>
            <w:r>
              <w:rPr>
                <w:b/>
                <w:sz w:val="22"/>
              </w:rPr>
              <w:t>Report Title:</w:t>
            </w:r>
          </w:p>
        </w:tc>
        <w:tc>
          <w:tcPr>
            <w:tcW w:w="8269" w:type="dxa"/>
            <w:gridSpan w:val="5"/>
            <w:tcBorders>
              <w:top w:val="single" w:sz="4" w:space="0" w:color="000000"/>
              <w:left w:val="single" w:sz="4" w:space="0" w:color="000000"/>
              <w:bottom w:val="single" w:sz="4" w:space="0" w:color="000000"/>
              <w:right w:val="single" w:sz="4" w:space="0" w:color="000000"/>
            </w:tcBorders>
          </w:tcPr>
          <w:p w14:paraId="4B4CEDA1" w14:textId="1C0AD14F" w:rsidR="00FE1A71" w:rsidRPr="00FA6F70" w:rsidRDefault="001C1FCD" w:rsidP="007000FD">
            <w:pPr>
              <w:spacing w:after="200" w:line="276" w:lineRule="auto"/>
              <w:ind w:left="0" w:firstLine="0"/>
              <w:rPr>
                <w:rFonts w:eastAsia="Calibri"/>
                <w:sz w:val="22"/>
              </w:rPr>
            </w:pPr>
            <w:r w:rsidRPr="000A6F9D">
              <w:rPr>
                <w:szCs w:val="24"/>
              </w:rPr>
              <w:t>Statutory Functions Accountability Return 2025/26 and Statutory Function Action Plan 2026</w:t>
            </w:r>
          </w:p>
        </w:tc>
      </w:tr>
      <w:tr w:rsidR="003714CB" w:rsidRPr="007A5124" w14:paraId="2C69F687" w14:textId="77777777" w:rsidTr="003714CB">
        <w:trPr>
          <w:trHeight w:val="515"/>
        </w:trPr>
        <w:tc>
          <w:tcPr>
            <w:tcW w:w="2226" w:type="dxa"/>
            <w:tcBorders>
              <w:top w:val="single" w:sz="4" w:space="0" w:color="000000"/>
              <w:left w:val="single" w:sz="4" w:space="0" w:color="000000"/>
              <w:bottom w:val="single" w:sz="4" w:space="0" w:color="000000"/>
              <w:right w:val="single" w:sz="4" w:space="0" w:color="000000"/>
            </w:tcBorders>
            <w:shd w:val="clear" w:color="auto" w:fill="BFBFBF"/>
          </w:tcPr>
          <w:p w14:paraId="2FECA73E" w14:textId="77777777" w:rsidR="003714CB" w:rsidRPr="007A5124" w:rsidRDefault="003714CB" w:rsidP="007A5124">
            <w:pPr>
              <w:spacing w:after="0" w:line="240" w:lineRule="auto"/>
              <w:ind w:left="0" w:firstLine="0"/>
              <w:rPr>
                <w:b/>
                <w:sz w:val="22"/>
              </w:rPr>
            </w:pPr>
            <w:r>
              <w:rPr>
                <w:b/>
                <w:sz w:val="22"/>
              </w:rPr>
              <w:t>Author of Report:</w:t>
            </w:r>
          </w:p>
        </w:tc>
        <w:tc>
          <w:tcPr>
            <w:tcW w:w="8269" w:type="dxa"/>
            <w:gridSpan w:val="5"/>
            <w:tcBorders>
              <w:top w:val="single" w:sz="4" w:space="0" w:color="000000"/>
              <w:left w:val="single" w:sz="4" w:space="0" w:color="000000"/>
              <w:bottom w:val="single" w:sz="4" w:space="0" w:color="000000"/>
              <w:right w:val="single" w:sz="4" w:space="0" w:color="000000"/>
            </w:tcBorders>
          </w:tcPr>
          <w:p w14:paraId="24D8CE2A" w14:textId="6F49F3E0" w:rsidR="003714CB" w:rsidRPr="00FA6F70" w:rsidRDefault="001C1FCD" w:rsidP="007A5124">
            <w:pPr>
              <w:spacing w:after="0" w:line="240" w:lineRule="auto"/>
              <w:ind w:left="2" w:firstLine="0"/>
              <w:rPr>
                <w:rFonts w:eastAsia="Calibri"/>
                <w:sz w:val="22"/>
              </w:rPr>
            </w:pPr>
            <w:r w:rsidRPr="000A6F9D">
              <w:rPr>
                <w:szCs w:val="24"/>
              </w:rPr>
              <w:t>Lee Wilson, Assistant Director, Social Work Governance, Workforce Development and Training Department</w:t>
            </w:r>
          </w:p>
        </w:tc>
      </w:tr>
      <w:tr w:rsidR="003714CB" w:rsidRPr="007A5124" w14:paraId="58D68EB8" w14:textId="77777777" w:rsidTr="003714CB">
        <w:trPr>
          <w:trHeight w:val="515"/>
        </w:trPr>
        <w:tc>
          <w:tcPr>
            <w:tcW w:w="2226" w:type="dxa"/>
            <w:tcBorders>
              <w:top w:val="single" w:sz="4" w:space="0" w:color="000000"/>
              <w:left w:val="single" w:sz="4" w:space="0" w:color="000000"/>
              <w:bottom w:val="single" w:sz="4" w:space="0" w:color="000000"/>
              <w:right w:val="single" w:sz="4" w:space="0" w:color="000000"/>
            </w:tcBorders>
            <w:shd w:val="clear" w:color="auto" w:fill="BFBFBF"/>
          </w:tcPr>
          <w:p w14:paraId="782367A4" w14:textId="77777777" w:rsidR="003714CB" w:rsidRPr="005D2C2D" w:rsidRDefault="003714CB" w:rsidP="003714CB">
            <w:pPr>
              <w:spacing w:after="0" w:line="240" w:lineRule="auto"/>
              <w:ind w:left="0" w:firstLine="0"/>
              <w:rPr>
                <w:sz w:val="22"/>
                <w:szCs w:val="28"/>
              </w:rPr>
            </w:pPr>
            <w:r w:rsidRPr="005D2C2D">
              <w:rPr>
                <w:b/>
                <w:sz w:val="22"/>
              </w:rPr>
              <w:t xml:space="preserve">Director </w:t>
            </w:r>
            <w:proofErr w:type="gramStart"/>
            <w:r w:rsidRPr="005D2C2D">
              <w:rPr>
                <w:b/>
                <w:sz w:val="22"/>
              </w:rPr>
              <w:t>Lead</w:t>
            </w:r>
            <w:proofErr w:type="gramEnd"/>
            <w:r w:rsidRPr="005D2C2D">
              <w:rPr>
                <w:b/>
                <w:sz w:val="22"/>
              </w:rPr>
              <w:t>:</w:t>
            </w:r>
            <w:r w:rsidRPr="005D2C2D">
              <w:rPr>
                <w:sz w:val="22"/>
                <w:szCs w:val="28"/>
              </w:rPr>
              <w:t xml:space="preserve"> </w:t>
            </w:r>
          </w:p>
        </w:tc>
        <w:tc>
          <w:tcPr>
            <w:tcW w:w="8269" w:type="dxa"/>
            <w:gridSpan w:val="5"/>
            <w:tcBorders>
              <w:top w:val="single" w:sz="4" w:space="0" w:color="000000"/>
              <w:left w:val="single" w:sz="4" w:space="0" w:color="000000"/>
              <w:bottom w:val="single" w:sz="4" w:space="0" w:color="000000"/>
              <w:right w:val="single" w:sz="4" w:space="0" w:color="000000"/>
            </w:tcBorders>
          </w:tcPr>
          <w:p w14:paraId="014BED2D" w14:textId="336ABFEF" w:rsidR="003714CB" w:rsidRPr="00FA6F70" w:rsidRDefault="001C1FCD" w:rsidP="003714CB">
            <w:pPr>
              <w:spacing w:after="0" w:line="240" w:lineRule="auto"/>
              <w:ind w:left="2" w:firstLine="0"/>
              <w:rPr>
                <w:rFonts w:eastAsia="Calibri"/>
                <w:sz w:val="22"/>
              </w:rPr>
            </w:pPr>
            <w:r w:rsidRPr="000A6F9D">
              <w:rPr>
                <w:szCs w:val="24"/>
              </w:rPr>
              <w:t>Maura Dargan, Divisional Director Children and Young People &amp; Executive Director of Social Work</w:t>
            </w:r>
          </w:p>
        </w:tc>
      </w:tr>
      <w:tr w:rsidR="003714CB" w:rsidRPr="007A5124" w14:paraId="45F7926B" w14:textId="77777777" w:rsidTr="003714CB">
        <w:trPr>
          <w:trHeight w:val="262"/>
        </w:trPr>
        <w:tc>
          <w:tcPr>
            <w:tcW w:w="2226" w:type="dxa"/>
            <w:tcBorders>
              <w:top w:val="single" w:sz="4" w:space="0" w:color="000000"/>
              <w:left w:val="single" w:sz="4" w:space="0" w:color="000000"/>
              <w:bottom w:val="single" w:sz="4" w:space="0" w:color="000000"/>
              <w:right w:val="single" w:sz="4" w:space="0" w:color="000000"/>
            </w:tcBorders>
            <w:shd w:val="clear" w:color="auto" w:fill="BFBFBF"/>
          </w:tcPr>
          <w:p w14:paraId="3A2E0B9A" w14:textId="77777777" w:rsidR="003714CB" w:rsidRPr="007A5124" w:rsidRDefault="003714CB" w:rsidP="003714CB">
            <w:pPr>
              <w:spacing w:after="0" w:line="240" w:lineRule="auto"/>
              <w:ind w:left="0" w:firstLine="0"/>
              <w:jc w:val="both"/>
              <w:rPr>
                <w:rFonts w:ascii="Calibri" w:eastAsia="Calibri" w:hAnsi="Calibri" w:cs="Calibri"/>
                <w:sz w:val="22"/>
              </w:rPr>
            </w:pPr>
            <w:r w:rsidRPr="007A5124">
              <w:rPr>
                <w:b/>
                <w:sz w:val="22"/>
              </w:rPr>
              <w:t xml:space="preserve">Presented By: </w:t>
            </w:r>
          </w:p>
        </w:tc>
        <w:tc>
          <w:tcPr>
            <w:tcW w:w="8269" w:type="dxa"/>
            <w:gridSpan w:val="5"/>
            <w:tcBorders>
              <w:top w:val="single" w:sz="4" w:space="0" w:color="000000"/>
              <w:left w:val="single" w:sz="4" w:space="0" w:color="000000"/>
              <w:bottom w:val="single" w:sz="4" w:space="0" w:color="000000"/>
              <w:right w:val="single" w:sz="4" w:space="0" w:color="000000"/>
            </w:tcBorders>
          </w:tcPr>
          <w:p w14:paraId="2BF3E07B" w14:textId="4033DAFC" w:rsidR="00111441" w:rsidRPr="00FA6F70" w:rsidRDefault="001C1FCD" w:rsidP="007000FD">
            <w:pPr>
              <w:spacing w:after="0" w:line="240" w:lineRule="auto"/>
              <w:ind w:left="0" w:firstLine="0"/>
              <w:rPr>
                <w:rFonts w:eastAsia="Calibri"/>
                <w:sz w:val="22"/>
              </w:rPr>
            </w:pPr>
            <w:r w:rsidRPr="000A6F9D">
              <w:rPr>
                <w:szCs w:val="24"/>
              </w:rPr>
              <w:t>Maura Dargan, Divisional Director Children and Young People &amp; Executive Director of Social Work</w:t>
            </w:r>
            <w:r w:rsidRPr="00FA6F70">
              <w:rPr>
                <w:rFonts w:eastAsia="Calibri"/>
                <w:sz w:val="22"/>
              </w:rPr>
              <w:t xml:space="preserve"> </w:t>
            </w:r>
          </w:p>
        </w:tc>
      </w:tr>
      <w:tr w:rsidR="003714CB" w:rsidRPr="007A5124" w14:paraId="24BAA03F" w14:textId="77777777" w:rsidTr="003714CB">
        <w:trPr>
          <w:trHeight w:val="263"/>
        </w:trPr>
        <w:tc>
          <w:tcPr>
            <w:tcW w:w="2226" w:type="dxa"/>
            <w:tcBorders>
              <w:top w:val="single" w:sz="4" w:space="0" w:color="000000"/>
              <w:left w:val="single" w:sz="4" w:space="0" w:color="000000"/>
              <w:bottom w:val="single" w:sz="4" w:space="0" w:color="000000"/>
              <w:right w:val="single" w:sz="4" w:space="0" w:color="000000"/>
            </w:tcBorders>
            <w:shd w:val="clear" w:color="auto" w:fill="BFBFBF"/>
          </w:tcPr>
          <w:p w14:paraId="45B8F481" w14:textId="77777777" w:rsidR="003714CB" w:rsidRPr="007A5124" w:rsidRDefault="003714CB" w:rsidP="003714CB">
            <w:pPr>
              <w:spacing w:after="0" w:line="240" w:lineRule="auto"/>
              <w:ind w:left="0" w:firstLine="0"/>
              <w:jc w:val="both"/>
              <w:rPr>
                <w:rFonts w:ascii="Calibri" w:eastAsia="Calibri" w:hAnsi="Calibri" w:cs="Calibri"/>
                <w:sz w:val="22"/>
              </w:rPr>
            </w:pPr>
            <w:r>
              <w:rPr>
                <w:b/>
                <w:sz w:val="22"/>
              </w:rPr>
              <w:t>Date of Meeting</w:t>
            </w:r>
            <w:r w:rsidRPr="007A5124">
              <w:rPr>
                <w:b/>
                <w:sz w:val="22"/>
              </w:rPr>
              <w:t xml:space="preserve">: </w:t>
            </w:r>
          </w:p>
        </w:tc>
        <w:tc>
          <w:tcPr>
            <w:tcW w:w="8269" w:type="dxa"/>
            <w:gridSpan w:val="5"/>
            <w:tcBorders>
              <w:top w:val="single" w:sz="4" w:space="0" w:color="000000"/>
              <w:left w:val="single" w:sz="4" w:space="0" w:color="000000"/>
              <w:bottom w:val="single" w:sz="4" w:space="0" w:color="000000"/>
              <w:right w:val="single" w:sz="4" w:space="0" w:color="000000"/>
            </w:tcBorders>
          </w:tcPr>
          <w:p w14:paraId="112DCA68" w14:textId="48A6EBD4" w:rsidR="003714CB" w:rsidRPr="00FA6F70" w:rsidRDefault="00854ABF" w:rsidP="002016FB">
            <w:pPr>
              <w:spacing w:after="0" w:line="240" w:lineRule="auto"/>
              <w:ind w:left="1" w:firstLine="0"/>
              <w:rPr>
                <w:rFonts w:eastAsia="Calibri"/>
                <w:sz w:val="22"/>
              </w:rPr>
            </w:pPr>
            <w:r>
              <w:rPr>
                <w:rFonts w:eastAsia="Calibri"/>
                <w:sz w:val="22"/>
              </w:rPr>
              <w:t>24</w:t>
            </w:r>
            <w:r w:rsidR="001C1FCD">
              <w:rPr>
                <w:rFonts w:eastAsia="Calibri"/>
                <w:sz w:val="22"/>
              </w:rPr>
              <w:t xml:space="preserve"> June 2026</w:t>
            </w:r>
          </w:p>
        </w:tc>
      </w:tr>
      <w:tr w:rsidR="00111441" w:rsidRPr="007A5124" w14:paraId="057237EB" w14:textId="77777777" w:rsidTr="009321CE">
        <w:trPr>
          <w:trHeight w:val="263"/>
        </w:trPr>
        <w:tc>
          <w:tcPr>
            <w:tcW w:w="2226" w:type="dxa"/>
            <w:tcBorders>
              <w:top w:val="single" w:sz="4" w:space="0" w:color="000000"/>
              <w:left w:val="single" w:sz="4" w:space="0" w:color="000000"/>
              <w:bottom w:val="single" w:sz="4" w:space="0" w:color="000000"/>
              <w:right w:val="single" w:sz="4" w:space="0" w:color="000000"/>
            </w:tcBorders>
            <w:shd w:val="clear" w:color="auto" w:fill="BFBFBF"/>
          </w:tcPr>
          <w:p w14:paraId="5B8C6E2F" w14:textId="4991AF07" w:rsidR="00111441" w:rsidRPr="00111441" w:rsidRDefault="00111441" w:rsidP="00111441">
            <w:pPr>
              <w:spacing w:after="0" w:line="240" w:lineRule="auto"/>
              <w:ind w:left="0" w:firstLine="0"/>
              <w:jc w:val="both"/>
              <w:rPr>
                <w:b/>
                <w:sz w:val="22"/>
              </w:rPr>
            </w:pPr>
            <w:r w:rsidRPr="00111441">
              <w:rPr>
                <w:b/>
                <w:sz w:val="22"/>
              </w:rPr>
              <w:t>Purpose:</w:t>
            </w:r>
          </w:p>
        </w:tc>
        <w:tc>
          <w:tcPr>
            <w:tcW w:w="4134" w:type="dxa"/>
            <w:gridSpan w:val="3"/>
            <w:tcBorders>
              <w:top w:val="single" w:sz="4" w:space="0" w:color="000000"/>
              <w:left w:val="single" w:sz="4" w:space="0" w:color="000000"/>
              <w:bottom w:val="single" w:sz="4" w:space="0" w:color="000000"/>
              <w:right w:val="single" w:sz="4" w:space="0" w:color="000000"/>
            </w:tcBorders>
          </w:tcPr>
          <w:p w14:paraId="792EE6DB" w14:textId="56DB5F57" w:rsidR="00111441" w:rsidRDefault="00111441" w:rsidP="00111441">
            <w:pPr>
              <w:spacing w:after="0" w:line="240" w:lineRule="auto"/>
              <w:ind w:left="1" w:firstLine="0"/>
              <w:rPr>
                <w:rFonts w:eastAsia="Calibri"/>
                <w:sz w:val="22"/>
              </w:rPr>
            </w:pPr>
            <w:r w:rsidRPr="00204040">
              <w:rPr>
                <w:b/>
                <w:sz w:val="20"/>
                <w:szCs w:val="20"/>
              </w:rPr>
              <w:t xml:space="preserve">For Assurance  </w:t>
            </w:r>
            <w:sdt>
              <w:sdtPr>
                <w:rPr>
                  <w:b/>
                  <w:sz w:val="20"/>
                  <w:szCs w:val="20"/>
                </w:rPr>
                <w:id w:val="1767107975"/>
                <w14:checkbox>
                  <w14:checked w14:val="0"/>
                  <w14:checkedState w14:val="2612" w14:font="MS Gothic"/>
                  <w14:uncheckedState w14:val="2610" w14:font="MS Gothic"/>
                </w14:checkbox>
              </w:sdtPr>
              <w:sdtEndPr/>
              <w:sdtContent>
                <w:r w:rsidR="001C1FCD">
                  <w:rPr>
                    <w:rFonts w:ascii="MS Gothic" w:eastAsia="MS Gothic" w:hAnsi="MS Gothic" w:hint="eastAsia"/>
                    <w:b/>
                    <w:sz w:val="20"/>
                    <w:szCs w:val="20"/>
                  </w:rPr>
                  <w:t>☐</w:t>
                </w:r>
              </w:sdtContent>
            </w:sdt>
          </w:p>
        </w:tc>
        <w:tc>
          <w:tcPr>
            <w:tcW w:w="4135" w:type="dxa"/>
            <w:gridSpan w:val="2"/>
            <w:tcBorders>
              <w:top w:val="single" w:sz="4" w:space="0" w:color="000000"/>
              <w:left w:val="single" w:sz="4" w:space="0" w:color="000000"/>
              <w:bottom w:val="single" w:sz="4" w:space="0" w:color="000000"/>
              <w:right w:val="single" w:sz="4" w:space="0" w:color="000000"/>
            </w:tcBorders>
          </w:tcPr>
          <w:p w14:paraId="356BD90A" w14:textId="52982098" w:rsidR="00111441" w:rsidRDefault="00111441" w:rsidP="00111441">
            <w:pPr>
              <w:spacing w:after="0" w:line="240" w:lineRule="auto"/>
              <w:ind w:left="1" w:firstLine="0"/>
              <w:rPr>
                <w:rFonts w:eastAsia="Calibri"/>
                <w:sz w:val="22"/>
              </w:rPr>
            </w:pPr>
            <w:r w:rsidRPr="00204040">
              <w:rPr>
                <w:b/>
                <w:sz w:val="20"/>
                <w:szCs w:val="20"/>
              </w:rPr>
              <w:t xml:space="preserve">For Assurance and Approval  </w:t>
            </w:r>
            <w:sdt>
              <w:sdtPr>
                <w:rPr>
                  <w:b/>
                  <w:sz w:val="20"/>
                  <w:szCs w:val="20"/>
                </w:rPr>
                <w:id w:val="455842421"/>
                <w14:checkbox>
                  <w14:checked w14:val="1"/>
                  <w14:checkedState w14:val="2612" w14:font="MS Gothic"/>
                  <w14:uncheckedState w14:val="2610" w14:font="MS Gothic"/>
                </w14:checkbox>
              </w:sdtPr>
              <w:sdtEndPr/>
              <w:sdtContent>
                <w:r w:rsidR="001C1FCD">
                  <w:rPr>
                    <w:rFonts w:ascii="MS Gothic" w:eastAsia="MS Gothic" w:hAnsi="MS Gothic" w:hint="eastAsia"/>
                    <w:b/>
                    <w:sz w:val="20"/>
                    <w:szCs w:val="20"/>
                  </w:rPr>
                  <w:t>☒</w:t>
                </w:r>
              </w:sdtContent>
            </w:sdt>
          </w:p>
        </w:tc>
      </w:tr>
      <w:tr w:rsidR="00111441" w:rsidRPr="007A5124" w14:paraId="087AC5D5" w14:textId="77777777" w:rsidTr="00E25AAD">
        <w:trPr>
          <w:trHeight w:val="259"/>
        </w:trPr>
        <w:tc>
          <w:tcPr>
            <w:tcW w:w="10495" w:type="dxa"/>
            <w:gridSpan w:val="6"/>
            <w:tcBorders>
              <w:top w:val="single" w:sz="4" w:space="0" w:color="000000"/>
              <w:left w:val="single" w:sz="4" w:space="0" w:color="000000"/>
              <w:bottom w:val="single" w:sz="4" w:space="0" w:color="000000"/>
              <w:right w:val="single" w:sz="4" w:space="0" w:color="000000"/>
            </w:tcBorders>
            <w:shd w:val="clear" w:color="auto" w:fill="A6A6A6"/>
          </w:tcPr>
          <w:p w14:paraId="0B20E841" w14:textId="77777777" w:rsidR="00111441" w:rsidRPr="007A5124" w:rsidRDefault="00111441" w:rsidP="00111441">
            <w:pPr>
              <w:spacing w:after="0" w:line="240" w:lineRule="auto"/>
              <w:ind w:left="0" w:firstLine="0"/>
              <w:rPr>
                <w:rFonts w:ascii="Calibri" w:eastAsia="Calibri" w:hAnsi="Calibri" w:cs="Calibri"/>
                <w:sz w:val="22"/>
              </w:rPr>
            </w:pPr>
            <w:r w:rsidRPr="007A5124">
              <w:rPr>
                <w:b/>
                <w:sz w:val="22"/>
              </w:rPr>
              <w:t xml:space="preserve">Strategic Objectives </w:t>
            </w:r>
            <w:r>
              <w:rPr>
                <w:b/>
                <w:sz w:val="22"/>
              </w:rPr>
              <w:t>(select)</w:t>
            </w:r>
          </w:p>
        </w:tc>
      </w:tr>
      <w:tr w:rsidR="00111441" w:rsidRPr="007A5124" w14:paraId="7E084A37" w14:textId="77777777" w:rsidTr="003714CB">
        <w:trPr>
          <w:trHeight w:val="1276"/>
        </w:trPr>
        <w:tc>
          <w:tcPr>
            <w:tcW w:w="2226" w:type="dxa"/>
            <w:tcBorders>
              <w:top w:val="single" w:sz="4" w:space="0" w:color="000000"/>
              <w:left w:val="single" w:sz="4" w:space="0" w:color="000000"/>
              <w:bottom w:val="single" w:sz="4" w:space="0" w:color="000000"/>
              <w:right w:val="single" w:sz="4" w:space="0" w:color="000000"/>
            </w:tcBorders>
          </w:tcPr>
          <w:p w14:paraId="6904230A" w14:textId="77777777" w:rsidR="00111441" w:rsidRPr="007A5124" w:rsidRDefault="00111441" w:rsidP="00111441">
            <w:pPr>
              <w:spacing w:after="0" w:line="240" w:lineRule="auto"/>
              <w:ind w:left="0" w:firstLine="0"/>
              <w:jc w:val="center"/>
              <w:rPr>
                <w:rFonts w:ascii="Calibri" w:eastAsia="Calibri" w:hAnsi="Calibri" w:cs="Calibri"/>
                <w:sz w:val="22"/>
              </w:rPr>
            </w:pPr>
            <w:r w:rsidRPr="007A5124">
              <w:rPr>
                <w:rFonts w:eastAsia="Calibri"/>
                <w:b/>
                <w:i/>
                <w:sz w:val="22"/>
              </w:rPr>
              <w:t xml:space="preserve">Build </w:t>
            </w:r>
            <w:r w:rsidRPr="007A5124">
              <w:rPr>
                <w:rFonts w:eastAsia="Calibri"/>
                <w:b/>
                <w:i/>
                <w:color w:val="55CADD"/>
                <w:sz w:val="22"/>
              </w:rPr>
              <w:t>N</w:t>
            </w:r>
            <w:r w:rsidRPr="007A5124">
              <w:rPr>
                <w:rFonts w:eastAsia="Calibri"/>
                <w:b/>
                <w:i/>
                <w:sz w:val="22"/>
              </w:rPr>
              <w:t>orthern Partnerships and Integrate Care</w:t>
            </w:r>
          </w:p>
        </w:tc>
        <w:tc>
          <w:tcPr>
            <w:tcW w:w="1328" w:type="dxa"/>
            <w:tcBorders>
              <w:top w:val="single" w:sz="4" w:space="0" w:color="000000"/>
              <w:left w:val="single" w:sz="4" w:space="0" w:color="000000"/>
              <w:bottom w:val="single" w:sz="4" w:space="0" w:color="000000"/>
              <w:right w:val="single" w:sz="4" w:space="0" w:color="000000"/>
            </w:tcBorders>
          </w:tcPr>
          <w:p w14:paraId="5EC12C58" w14:textId="77777777" w:rsidR="00111441" w:rsidRPr="007A5124" w:rsidRDefault="00111441" w:rsidP="00111441">
            <w:pPr>
              <w:spacing w:after="0" w:line="240" w:lineRule="auto"/>
              <w:ind w:left="0" w:firstLine="0"/>
              <w:jc w:val="center"/>
              <w:rPr>
                <w:rFonts w:ascii="Calibri" w:eastAsia="Calibri" w:hAnsi="Calibri" w:cs="Calibri"/>
                <w:sz w:val="22"/>
              </w:rPr>
            </w:pPr>
            <w:r w:rsidRPr="007A5124">
              <w:rPr>
                <w:rFonts w:eastAsia="Calibri"/>
                <w:b/>
                <w:i/>
                <w:sz w:val="22"/>
              </w:rPr>
              <w:t xml:space="preserve">Continue to improve </w:t>
            </w:r>
            <w:r w:rsidRPr="007A5124">
              <w:rPr>
                <w:rFonts w:eastAsia="Calibri"/>
                <w:b/>
                <w:i/>
                <w:color w:val="FB37DA"/>
                <w:sz w:val="22"/>
              </w:rPr>
              <w:t>O</w:t>
            </w:r>
            <w:r w:rsidRPr="007A5124">
              <w:rPr>
                <w:rFonts w:eastAsia="Calibri"/>
                <w:b/>
                <w:i/>
                <w:sz w:val="22"/>
              </w:rPr>
              <w:t>utcomes &amp; Experience</w:t>
            </w:r>
          </w:p>
        </w:tc>
        <w:tc>
          <w:tcPr>
            <w:tcW w:w="1812" w:type="dxa"/>
            <w:tcBorders>
              <w:top w:val="single" w:sz="4" w:space="0" w:color="000000"/>
              <w:left w:val="single" w:sz="4" w:space="0" w:color="000000"/>
              <w:bottom w:val="single" w:sz="4" w:space="0" w:color="000000"/>
              <w:right w:val="single" w:sz="4" w:space="0" w:color="000000"/>
            </w:tcBorders>
          </w:tcPr>
          <w:p w14:paraId="33CF1385" w14:textId="77777777" w:rsidR="00111441" w:rsidRPr="007A5124" w:rsidRDefault="00111441" w:rsidP="00111441">
            <w:pPr>
              <w:spacing w:after="0" w:line="240" w:lineRule="auto"/>
              <w:ind w:left="0" w:firstLine="0"/>
              <w:jc w:val="center"/>
              <w:rPr>
                <w:rFonts w:ascii="Calibri" w:eastAsia="Calibri" w:hAnsi="Calibri" w:cs="Calibri"/>
                <w:sz w:val="22"/>
              </w:rPr>
            </w:pPr>
            <w:r w:rsidRPr="007A5124">
              <w:rPr>
                <w:rFonts w:eastAsia="Calibri"/>
                <w:b/>
                <w:i/>
                <w:sz w:val="22"/>
              </w:rPr>
              <w:t xml:space="preserve">Deliver value by optimising </w:t>
            </w:r>
            <w:r w:rsidRPr="00FE1A71">
              <w:rPr>
                <w:rFonts w:eastAsia="Calibri"/>
                <w:b/>
                <w:i/>
                <w:color w:val="FF0000"/>
                <w:sz w:val="22"/>
              </w:rPr>
              <w:t>R</w:t>
            </w:r>
            <w:r w:rsidRPr="007A5124">
              <w:rPr>
                <w:rFonts w:eastAsia="Calibri"/>
                <w:b/>
                <w:i/>
                <w:sz w:val="22"/>
              </w:rPr>
              <w:t>esources</w:t>
            </w:r>
          </w:p>
        </w:tc>
        <w:tc>
          <w:tcPr>
            <w:tcW w:w="1663" w:type="dxa"/>
            <w:gridSpan w:val="2"/>
            <w:tcBorders>
              <w:top w:val="single" w:sz="4" w:space="0" w:color="000000"/>
              <w:left w:val="single" w:sz="4" w:space="0" w:color="000000"/>
              <w:bottom w:val="single" w:sz="4" w:space="0" w:color="000000"/>
              <w:right w:val="single" w:sz="4" w:space="0" w:color="000000"/>
            </w:tcBorders>
          </w:tcPr>
          <w:p w14:paraId="2A2CB035" w14:textId="77777777" w:rsidR="00111441" w:rsidRPr="007A5124" w:rsidRDefault="00111441" w:rsidP="00111441">
            <w:pPr>
              <w:spacing w:after="0" w:line="240" w:lineRule="auto"/>
              <w:ind w:left="0" w:firstLine="0"/>
              <w:jc w:val="center"/>
              <w:rPr>
                <w:rFonts w:ascii="Calibri" w:eastAsia="Calibri" w:hAnsi="Calibri" w:cs="Calibri"/>
                <w:sz w:val="22"/>
              </w:rPr>
            </w:pPr>
            <w:r>
              <w:rPr>
                <w:rFonts w:eastAsia="Calibri"/>
                <w:b/>
                <w:i/>
                <w:sz w:val="22"/>
              </w:rPr>
              <w:t xml:space="preserve">Nurture our people, enable our talent and build our </w:t>
            </w:r>
            <w:r w:rsidRPr="00FE1A71">
              <w:rPr>
                <w:rFonts w:eastAsia="Calibri"/>
                <w:b/>
                <w:i/>
                <w:color w:val="7030A0"/>
                <w:sz w:val="22"/>
              </w:rPr>
              <w:t>T</w:t>
            </w:r>
            <w:r>
              <w:rPr>
                <w:rFonts w:eastAsia="Calibri"/>
                <w:b/>
                <w:i/>
                <w:sz w:val="22"/>
              </w:rPr>
              <w:t>eams</w:t>
            </w:r>
          </w:p>
        </w:tc>
        <w:tc>
          <w:tcPr>
            <w:tcW w:w="3466" w:type="dxa"/>
            <w:tcBorders>
              <w:top w:val="single" w:sz="4" w:space="0" w:color="000000"/>
              <w:left w:val="single" w:sz="4" w:space="0" w:color="000000"/>
              <w:bottom w:val="single" w:sz="4" w:space="0" w:color="000000"/>
              <w:right w:val="single" w:sz="4" w:space="0" w:color="000000"/>
            </w:tcBorders>
          </w:tcPr>
          <w:p w14:paraId="0F70A165" w14:textId="77777777" w:rsidR="00111441" w:rsidRPr="007A5124" w:rsidRDefault="00111441" w:rsidP="00111441">
            <w:pPr>
              <w:widowControl w:val="0"/>
              <w:spacing w:after="0" w:line="276" w:lineRule="auto"/>
              <w:ind w:left="0" w:right="360" w:firstLine="0"/>
              <w:jc w:val="center"/>
              <w:rPr>
                <w:rFonts w:eastAsia="Times New Roman"/>
                <w:b/>
                <w:i/>
                <w:color w:val="auto"/>
                <w:sz w:val="22"/>
              </w:rPr>
            </w:pPr>
            <w:r w:rsidRPr="007A5124">
              <w:rPr>
                <w:rFonts w:eastAsia="Times New Roman"/>
                <w:b/>
                <w:i/>
                <w:color w:val="auto"/>
                <w:sz w:val="22"/>
              </w:rPr>
              <w:t xml:space="preserve">Improve population </w:t>
            </w:r>
            <w:r w:rsidRPr="007A5124">
              <w:rPr>
                <w:rFonts w:eastAsia="Times New Roman"/>
                <w:b/>
                <w:i/>
                <w:color w:val="55CADD"/>
                <w:sz w:val="22"/>
              </w:rPr>
              <w:t>H</w:t>
            </w:r>
            <w:r w:rsidRPr="007A5124">
              <w:rPr>
                <w:rFonts w:eastAsia="Times New Roman"/>
                <w:b/>
                <w:i/>
                <w:color w:val="auto"/>
                <w:sz w:val="22"/>
              </w:rPr>
              <w:t xml:space="preserve">ealth </w:t>
            </w:r>
            <w:r>
              <w:rPr>
                <w:rFonts w:eastAsia="Times New Roman"/>
                <w:b/>
                <w:i/>
                <w:color w:val="auto"/>
                <w:sz w:val="22"/>
              </w:rPr>
              <w:t>and</w:t>
            </w:r>
            <w:r w:rsidRPr="007A5124">
              <w:rPr>
                <w:rFonts w:eastAsia="Times New Roman"/>
                <w:b/>
                <w:i/>
                <w:color w:val="auto"/>
                <w:sz w:val="22"/>
              </w:rPr>
              <w:t xml:space="preserve"> address health </w:t>
            </w:r>
            <w:r>
              <w:rPr>
                <w:rFonts w:eastAsia="Times New Roman"/>
                <w:b/>
                <w:i/>
                <w:color w:val="auto"/>
                <w:sz w:val="22"/>
              </w:rPr>
              <w:t>and</w:t>
            </w:r>
            <w:r w:rsidRPr="007A5124">
              <w:rPr>
                <w:rFonts w:eastAsia="Times New Roman"/>
                <w:b/>
                <w:i/>
                <w:color w:val="auto"/>
                <w:sz w:val="22"/>
              </w:rPr>
              <w:t xml:space="preserve"> social care inequalities</w:t>
            </w:r>
          </w:p>
          <w:p w14:paraId="6EEC65BF" w14:textId="77777777" w:rsidR="00111441" w:rsidRPr="007A5124" w:rsidRDefault="00111441" w:rsidP="00111441">
            <w:pPr>
              <w:spacing w:after="0" w:line="240" w:lineRule="auto"/>
              <w:ind w:left="0" w:firstLine="0"/>
              <w:jc w:val="center"/>
              <w:rPr>
                <w:rFonts w:ascii="Calibri" w:eastAsia="Calibri" w:hAnsi="Calibri" w:cs="Calibri"/>
                <w:sz w:val="22"/>
              </w:rPr>
            </w:pPr>
            <w:r w:rsidRPr="007A5124">
              <w:rPr>
                <w:sz w:val="22"/>
              </w:rPr>
              <w:t xml:space="preserve"> </w:t>
            </w:r>
          </w:p>
        </w:tc>
      </w:tr>
      <w:tr w:rsidR="00111441" w:rsidRPr="007A5124" w14:paraId="281A270C" w14:textId="77777777" w:rsidTr="003714CB">
        <w:trPr>
          <w:trHeight w:val="265"/>
        </w:trPr>
        <w:tc>
          <w:tcPr>
            <w:tcW w:w="2226" w:type="dxa"/>
            <w:tcBorders>
              <w:top w:val="single" w:sz="4" w:space="0" w:color="000000"/>
              <w:left w:val="single" w:sz="4" w:space="0" w:color="000000"/>
              <w:bottom w:val="single" w:sz="4" w:space="0" w:color="000000"/>
              <w:right w:val="single" w:sz="4" w:space="0" w:color="000000"/>
            </w:tcBorders>
          </w:tcPr>
          <w:p w14:paraId="1F142DAC" w14:textId="77777777" w:rsidR="00111441" w:rsidRPr="007A5124" w:rsidRDefault="00111441" w:rsidP="00111441">
            <w:pPr>
              <w:spacing w:after="0" w:line="240" w:lineRule="auto"/>
              <w:ind w:left="0" w:right="60" w:firstLine="0"/>
              <w:jc w:val="center"/>
              <w:rPr>
                <w:rFonts w:ascii="Calibri" w:eastAsia="Calibri" w:hAnsi="Calibri" w:cs="Calibri"/>
                <w:sz w:val="22"/>
              </w:rPr>
            </w:pPr>
          </w:p>
        </w:tc>
        <w:tc>
          <w:tcPr>
            <w:tcW w:w="1328" w:type="dxa"/>
            <w:tcBorders>
              <w:top w:val="single" w:sz="4" w:space="0" w:color="000000"/>
              <w:left w:val="single" w:sz="4" w:space="0" w:color="000000"/>
              <w:bottom w:val="single" w:sz="4" w:space="0" w:color="000000"/>
              <w:right w:val="single" w:sz="4" w:space="0" w:color="000000"/>
            </w:tcBorders>
          </w:tcPr>
          <w:p w14:paraId="6428E58A" w14:textId="77777777" w:rsidR="00111441" w:rsidRPr="007A5124" w:rsidRDefault="00111441" w:rsidP="00111441">
            <w:pPr>
              <w:spacing w:after="0" w:line="240" w:lineRule="auto"/>
              <w:ind w:left="0" w:right="59" w:firstLine="0"/>
              <w:jc w:val="center"/>
              <w:rPr>
                <w:rFonts w:ascii="Calibri" w:eastAsia="Calibri" w:hAnsi="Calibri" w:cs="Calibri"/>
                <w:sz w:val="22"/>
              </w:rPr>
            </w:pPr>
            <w:r w:rsidRPr="003F72EE">
              <w:rPr>
                <w:rFonts w:eastAsia="Times New Roman" w:cstheme="minorHAnsi"/>
              </w:rPr>
              <w:sym w:font="Wingdings" w:char="F0FC"/>
            </w:r>
          </w:p>
        </w:tc>
        <w:tc>
          <w:tcPr>
            <w:tcW w:w="1812" w:type="dxa"/>
            <w:tcBorders>
              <w:top w:val="single" w:sz="4" w:space="0" w:color="000000"/>
              <w:left w:val="single" w:sz="4" w:space="0" w:color="000000"/>
              <w:bottom w:val="single" w:sz="4" w:space="0" w:color="000000"/>
              <w:right w:val="single" w:sz="4" w:space="0" w:color="000000"/>
            </w:tcBorders>
          </w:tcPr>
          <w:p w14:paraId="0FFAD8F8" w14:textId="77777777" w:rsidR="00111441" w:rsidRPr="007A5124" w:rsidRDefault="00111441" w:rsidP="00111441">
            <w:pPr>
              <w:spacing w:after="0" w:line="240" w:lineRule="auto"/>
              <w:ind w:left="0" w:right="59" w:firstLine="0"/>
              <w:jc w:val="center"/>
              <w:rPr>
                <w:rFonts w:ascii="Calibri" w:eastAsia="Calibri" w:hAnsi="Calibri" w:cs="Calibri"/>
                <w:sz w:val="22"/>
              </w:rPr>
            </w:pPr>
          </w:p>
        </w:tc>
        <w:tc>
          <w:tcPr>
            <w:tcW w:w="1663" w:type="dxa"/>
            <w:gridSpan w:val="2"/>
            <w:tcBorders>
              <w:top w:val="single" w:sz="4" w:space="0" w:color="000000"/>
              <w:left w:val="single" w:sz="4" w:space="0" w:color="000000"/>
              <w:bottom w:val="single" w:sz="4" w:space="0" w:color="000000"/>
              <w:right w:val="single" w:sz="4" w:space="0" w:color="000000"/>
            </w:tcBorders>
          </w:tcPr>
          <w:p w14:paraId="256262E9" w14:textId="4929EFED" w:rsidR="00111441" w:rsidRPr="007A5124" w:rsidRDefault="001C1FCD" w:rsidP="00111441">
            <w:pPr>
              <w:spacing w:after="0" w:line="240" w:lineRule="auto"/>
              <w:ind w:left="0" w:right="56" w:firstLine="0"/>
              <w:jc w:val="center"/>
              <w:rPr>
                <w:rFonts w:ascii="Calibri" w:eastAsia="Calibri" w:hAnsi="Calibri" w:cs="Calibri"/>
                <w:sz w:val="22"/>
              </w:rPr>
            </w:pPr>
            <w:r w:rsidRPr="003F72EE">
              <w:rPr>
                <w:rFonts w:eastAsia="Times New Roman" w:cstheme="minorHAnsi"/>
              </w:rPr>
              <w:sym w:font="Wingdings" w:char="F0FC"/>
            </w:r>
          </w:p>
        </w:tc>
        <w:tc>
          <w:tcPr>
            <w:tcW w:w="3466" w:type="dxa"/>
            <w:tcBorders>
              <w:top w:val="single" w:sz="4" w:space="0" w:color="000000"/>
              <w:left w:val="single" w:sz="4" w:space="0" w:color="000000"/>
              <w:bottom w:val="single" w:sz="4" w:space="0" w:color="000000"/>
              <w:right w:val="single" w:sz="4" w:space="0" w:color="000000"/>
            </w:tcBorders>
          </w:tcPr>
          <w:p w14:paraId="4A793CB1" w14:textId="68E641DE" w:rsidR="00111441" w:rsidRPr="007A5124" w:rsidRDefault="001C1FCD" w:rsidP="00111441">
            <w:pPr>
              <w:spacing w:after="0" w:line="240" w:lineRule="auto"/>
              <w:ind w:left="0" w:right="57" w:firstLine="0"/>
              <w:jc w:val="center"/>
              <w:rPr>
                <w:rFonts w:ascii="Calibri" w:eastAsia="Calibri" w:hAnsi="Calibri" w:cs="Calibri"/>
                <w:sz w:val="22"/>
              </w:rPr>
            </w:pPr>
            <w:r w:rsidRPr="003F72EE">
              <w:rPr>
                <w:rFonts w:eastAsia="Times New Roman" w:cstheme="minorHAnsi"/>
              </w:rPr>
              <w:sym w:font="Wingdings" w:char="F0FC"/>
            </w:r>
          </w:p>
        </w:tc>
      </w:tr>
    </w:tbl>
    <w:tbl>
      <w:tblPr>
        <w:tblStyle w:val="TableGrid2"/>
        <w:tblW w:w="10495" w:type="dxa"/>
        <w:tblInd w:w="-427" w:type="dxa"/>
        <w:tblCellMar>
          <w:top w:w="10" w:type="dxa"/>
          <w:left w:w="108" w:type="dxa"/>
          <w:right w:w="45" w:type="dxa"/>
        </w:tblCellMar>
        <w:tblLook w:val="04A0" w:firstRow="1" w:lastRow="0" w:firstColumn="1" w:lastColumn="0" w:noHBand="0" w:noVBand="1"/>
      </w:tblPr>
      <w:tblGrid>
        <w:gridCol w:w="10495"/>
      </w:tblGrid>
      <w:tr w:rsidR="002D3A97" w:rsidRPr="007A5124" w14:paraId="7D1FA892" w14:textId="77777777" w:rsidTr="0096661A">
        <w:trPr>
          <w:trHeight w:val="262"/>
        </w:trPr>
        <w:tc>
          <w:tcPr>
            <w:tcW w:w="10495" w:type="dxa"/>
            <w:tcBorders>
              <w:top w:val="single" w:sz="4" w:space="0" w:color="000000"/>
              <w:left w:val="single" w:sz="4" w:space="0" w:color="000000"/>
              <w:bottom w:val="single" w:sz="4" w:space="0" w:color="000000"/>
              <w:right w:val="single" w:sz="4" w:space="0" w:color="000000"/>
            </w:tcBorders>
            <w:shd w:val="clear" w:color="auto" w:fill="A6A6A6"/>
          </w:tcPr>
          <w:p w14:paraId="0E58BB8C" w14:textId="77777777" w:rsidR="002D3A97" w:rsidRPr="007A5124" w:rsidRDefault="00FE1A71" w:rsidP="0096661A">
            <w:pPr>
              <w:spacing w:after="0" w:line="240" w:lineRule="auto"/>
              <w:ind w:left="0" w:firstLine="0"/>
              <w:rPr>
                <w:rFonts w:ascii="Calibri" w:eastAsia="Calibri" w:hAnsi="Calibri" w:cs="Calibri"/>
                <w:sz w:val="22"/>
              </w:rPr>
            </w:pPr>
            <w:r>
              <w:rPr>
                <w:b/>
                <w:sz w:val="22"/>
              </w:rPr>
              <w:t>Background</w:t>
            </w:r>
          </w:p>
        </w:tc>
      </w:tr>
      <w:tr w:rsidR="002D3A97" w:rsidRPr="007A5124" w14:paraId="1F4F7CB2" w14:textId="77777777" w:rsidTr="0096661A">
        <w:tc>
          <w:tcPr>
            <w:tcW w:w="10495" w:type="dxa"/>
            <w:tcBorders>
              <w:top w:val="single" w:sz="4" w:space="0" w:color="000000"/>
              <w:left w:val="single" w:sz="4" w:space="0" w:color="000000"/>
              <w:bottom w:val="single" w:sz="4" w:space="0" w:color="000000"/>
              <w:right w:val="single" w:sz="4" w:space="0" w:color="000000"/>
            </w:tcBorders>
          </w:tcPr>
          <w:p w14:paraId="045D9E4E" w14:textId="77777777" w:rsidR="006C0C23" w:rsidRDefault="00F13F6F" w:rsidP="00F13F6F">
            <w:pPr>
              <w:spacing w:after="160" w:line="259" w:lineRule="auto"/>
              <w:ind w:left="0" w:firstLine="0"/>
            </w:pPr>
            <w:r>
              <w:t xml:space="preserve">Reports on the Trust’s Annual and Interim Statutory Function compliance, including six-monthly Corporate Parenting Reports, are presented to the Trust Board twice yearly. </w:t>
            </w:r>
          </w:p>
          <w:p w14:paraId="38DC4ADD" w14:textId="168ED5A7" w:rsidR="006C0C23" w:rsidRDefault="00F13F6F" w:rsidP="00F13F6F">
            <w:pPr>
              <w:spacing w:after="160" w:line="259" w:lineRule="auto"/>
              <w:ind w:left="0" w:firstLine="0"/>
            </w:pPr>
            <w:r>
              <w:t xml:space="preserve">Within the Northern Trust, established governance mechanisms ensure that professional leadership, control, and oversight of statutory and regulatory compliance are reviewed regularly. The Trust’s Social Care Governance Steering Group, convened eight months each year, provides focused oversight of statutory function delivery, identifying areas for development, improvement, and risk management. </w:t>
            </w:r>
          </w:p>
          <w:p w14:paraId="402E471E" w14:textId="77777777" w:rsidR="006C0C23" w:rsidRDefault="006C0C23" w:rsidP="006C0C23">
            <w:pPr>
              <w:spacing w:after="160" w:line="259" w:lineRule="auto"/>
              <w:ind w:left="0" w:firstLine="0"/>
            </w:pPr>
            <w:r>
              <w:t xml:space="preserve">Assurance is also supported via oversight through Trust Board Governance Committees, and reporting to the Standards and Compliance Committee, Safety and Care Quality Committee, and People and Culture Committee. </w:t>
            </w:r>
          </w:p>
          <w:p w14:paraId="5765E244" w14:textId="7DE7C99B" w:rsidR="006C0C23" w:rsidRDefault="006C0C23" w:rsidP="006C0C23">
            <w:pPr>
              <w:spacing w:after="160" w:line="259" w:lineRule="auto"/>
              <w:ind w:left="0" w:firstLine="0"/>
            </w:pPr>
            <w:r>
              <w:t>Divisional, Corporate and Principal Risk Registers are used to record risks, name owners, set timescales and test whether controls are working.</w:t>
            </w:r>
          </w:p>
          <w:p w14:paraId="4B0D30B8" w14:textId="7AA63745" w:rsidR="006C0C23" w:rsidRDefault="006C0C23" w:rsidP="006C0C23">
            <w:pPr>
              <w:spacing w:after="160" w:line="259" w:lineRule="auto"/>
              <w:ind w:left="0" w:firstLine="0"/>
            </w:pPr>
            <w:r>
              <w:t>These arrangements provide a clear line of sight from front-line service pressures to senior decision-making. They also give TB assurance that risk is not hidden, that serious issues are escalated, and that improvement work is being tracked.</w:t>
            </w:r>
          </w:p>
          <w:p w14:paraId="193B9F00" w14:textId="7630D94C" w:rsidR="00AA609B" w:rsidRPr="001C1FCD" w:rsidRDefault="00F13F6F" w:rsidP="00F13F6F">
            <w:pPr>
              <w:spacing w:after="160" w:line="259" w:lineRule="auto"/>
              <w:ind w:left="0" w:firstLine="0"/>
              <w:rPr>
                <w:szCs w:val="24"/>
              </w:rPr>
            </w:pPr>
            <w:r>
              <w:t>In line with the Trust’s Statutory Functions process, the annual reports are submitted to the Trust Board for oversight and retrospective approval.</w:t>
            </w:r>
          </w:p>
        </w:tc>
      </w:tr>
    </w:tbl>
    <w:tbl>
      <w:tblPr>
        <w:tblStyle w:val="TableGrid21"/>
        <w:tblW w:w="10495" w:type="dxa"/>
        <w:tblInd w:w="-427" w:type="dxa"/>
        <w:tblCellMar>
          <w:top w:w="10" w:type="dxa"/>
          <w:left w:w="108" w:type="dxa"/>
          <w:right w:w="45" w:type="dxa"/>
        </w:tblCellMar>
        <w:tblLook w:val="04A0" w:firstRow="1" w:lastRow="0" w:firstColumn="1" w:lastColumn="0" w:noHBand="0" w:noVBand="1"/>
      </w:tblPr>
      <w:tblGrid>
        <w:gridCol w:w="10495"/>
      </w:tblGrid>
      <w:tr w:rsidR="00FE1A71" w:rsidRPr="003F0DD3" w14:paraId="3601885E" w14:textId="77777777" w:rsidTr="00FE1A71">
        <w:tc>
          <w:tcPr>
            <w:tcW w:w="1049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9128191" w14:textId="77777777" w:rsidR="00FE1A71" w:rsidRPr="003F0DD3" w:rsidRDefault="00FE1A71" w:rsidP="00FE1A71">
            <w:pPr>
              <w:spacing w:after="0" w:line="240" w:lineRule="auto"/>
              <w:ind w:left="0" w:firstLine="0"/>
              <w:rPr>
                <w:rFonts w:eastAsia="Calibri"/>
                <w:sz w:val="22"/>
              </w:rPr>
            </w:pPr>
            <w:r>
              <w:rPr>
                <w:b/>
                <w:sz w:val="22"/>
              </w:rPr>
              <w:t>Items for Escalation to Trust Board</w:t>
            </w:r>
          </w:p>
        </w:tc>
      </w:tr>
      <w:tr w:rsidR="00FE1A71" w:rsidRPr="003F0DD3" w14:paraId="362C6653" w14:textId="77777777" w:rsidTr="0096661A">
        <w:tc>
          <w:tcPr>
            <w:tcW w:w="10495" w:type="dxa"/>
            <w:tcBorders>
              <w:top w:val="single" w:sz="4" w:space="0" w:color="000000"/>
              <w:left w:val="single" w:sz="4" w:space="0" w:color="000000"/>
              <w:bottom w:val="single" w:sz="4" w:space="0" w:color="000000"/>
              <w:right w:val="single" w:sz="4" w:space="0" w:color="000000"/>
            </w:tcBorders>
          </w:tcPr>
          <w:p w14:paraId="04546ED4" w14:textId="4139426F" w:rsidR="00FE1A71" w:rsidRDefault="00854ABF" w:rsidP="002D3A97">
            <w:pPr>
              <w:spacing w:after="0" w:line="240" w:lineRule="auto"/>
              <w:ind w:left="0" w:firstLine="0"/>
              <w:rPr>
                <w:rFonts w:eastAsia="Calibri"/>
                <w:sz w:val="22"/>
              </w:rPr>
            </w:pPr>
            <w:r>
              <w:rPr>
                <w:szCs w:val="24"/>
              </w:rPr>
              <w:t>TB</w:t>
            </w:r>
            <w:r w:rsidR="001C1FCD" w:rsidRPr="000A6F9D">
              <w:rPr>
                <w:szCs w:val="24"/>
              </w:rPr>
              <w:t xml:space="preserve"> is asked to approve</w:t>
            </w:r>
            <w:r w:rsidR="001C1FCD">
              <w:rPr>
                <w:szCs w:val="24"/>
              </w:rPr>
              <w:t xml:space="preserve"> </w:t>
            </w:r>
            <w:r w:rsidR="001C1FCD" w:rsidRPr="000A6F9D">
              <w:rPr>
                <w:szCs w:val="24"/>
              </w:rPr>
              <w:t>the 2026 Statutory Function Report</w:t>
            </w:r>
            <w:r w:rsidR="00F13F6F">
              <w:rPr>
                <w:szCs w:val="24"/>
              </w:rPr>
              <w:t>s</w:t>
            </w:r>
            <w:r w:rsidR="001C1FCD" w:rsidRPr="000A6F9D">
              <w:rPr>
                <w:szCs w:val="24"/>
              </w:rPr>
              <w:t xml:space="preserve">, note the evidence of pressure and improvement, and endorse the statutory-function action plan. </w:t>
            </w:r>
          </w:p>
        </w:tc>
      </w:tr>
    </w:tbl>
    <w:p w14:paraId="183709FB" w14:textId="77777777" w:rsidR="00AA609B" w:rsidRDefault="00AA609B" w:rsidP="002D3A97">
      <w:pPr>
        <w:spacing w:after="0" w:line="259" w:lineRule="auto"/>
        <w:ind w:left="0" w:firstLine="0"/>
      </w:pPr>
    </w:p>
    <w:sectPr w:rsidR="00AA609B" w:rsidSect="00F13F6F">
      <w:headerReference w:type="default" r:id="rId8"/>
      <w:footerReference w:type="default" r:id="rId9"/>
      <w:footnotePr>
        <w:numRestart w:val="eachPage"/>
      </w:footnotePr>
      <w:pgSz w:w="11906" w:h="16838"/>
      <w:pgMar w:top="709" w:right="1134" w:bottom="709" w:left="1134" w:header="720" w:footer="74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2A12" w14:textId="77777777" w:rsidR="00451BEF" w:rsidRDefault="00451BEF">
      <w:pPr>
        <w:spacing w:after="0" w:line="240" w:lineRule="auto"/>
      </w:pPr>
      <w:r>
        <w:separator/>
      </w:r>
    </w:p>
  </w:endnote>
  <w:endnote w:type="continuationSeparator" w:id="0">
    <w:p w14:paraId="401D69ED" w14:textId="77777777" w:rsidR="00451BEF" w:rsidRDefault="00451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D118" w14:textId="7F076E58" w:rsidR="00AA0CF7" w:rsidRDefault="00AA0CF7">
    <w:pPr>
      <w:pStyle w:val="Footer"/>
    </w:pPr>
    <w:r>
      <w:t>TB172/9/D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1895" w14:textId="77777777" w:rsidR="00451BEF" w:rsidRDefault="00451BEF">
      <w:pPr>
        <w:spacing w:after="0" w:line="259" w:lineRule="auto"/>
        <w:ind w:left="720" w:firstLine="0"/>
      </w:pPr>
      <w:r>
        <w:separator/>
      </w:r>
    </w:p>
  </w:footnote>
  <w:footnote w:type="continuationSeparator" w:id="0">
    <w:p w14:paraId="5BD7E229" w14:textId="77777777" w:rsidR="00451BEF" w:rsidRDefault="00451BEF">
      <w:pPr>
        <w:spacing w:after="0" w:line="259" w:lineRule="auto"/>
        <w:ind w:left="72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7C10" w14:textId="77777777" w:rsidR="00AA0CF7" w:rsidRDefault="00AA0CF7" w:rsidP="00AA0CF7">
    <w:pPr>
      <w:pStyle w:val="Header"/>
    </w:pPr>
    <w:r>
      <w:rPr>
        <w:i/>
        <w:noProof/>
      </w:rPr>
      <w:drawing>
        <wp:anchor distT="0" distB="0" distL="114300" distR="114300" simplePos="0" relativeHeight="251660288" behindDoc="0" locked="0" layoutInCell="1" allowOverlap="1" wp14:anchorId="0A597371" wp14:editId="24AE72D2">
          <wp:simplePos x="0" y="0"/>
          <wp:positionH relativeFrom="column">
            <wp:posOffset>-433705</wp:posOffset>
          </wp:positionH>
          <wp:positionV relativeFrom="paragraph">
            <wp:posOffset>-169545</wp:posOffset>
          </wp:positionV>
          <wp:extent cx="3659505" cy="3676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C.PNG"/>
                  <pic:cNvPicPr/>
                </pic:nvPicPr>
                <pic:blipFill>
                  <a:blip r:embed="rId1">
                    <a:extLst>
                      <a:ext uri="{28A0092B-C50C-407E-A947-70E740481C1C}">
                        <a14:useLocalDpi xmlns:a14="http://schemas.microsoft.com/office/drawing/2010/main" val="0"/>
                      </a:ext>
                    </a:extLst>
                  </a:blip>
                  <a:stretch>
                    <a:fillRect/>
                  </a:stretch>
                </pic:blipFill>
                <pic:spPr>
                  <a:xfrm>
                    <a:off x="0" y="0"/>
                    <a:ext cx="3659505" cy="367665"/>
                  </a:xfrm>
                  <a:prstGeom prst="rect">
                    <a:avLst/>
                  </a:prstGeom>
                </pic:spPr>
              </pic:pic>
            </a:graphicData>
          </a:graphic>
          <wp14:sizeRelH relativeFrom="page">
            <wp14:pctWidth>0</wp14:pctWidth>
          </wp14:sizeRelH>
          <wp14:sizeRelV relativeFrom="page">
            <wp14:pctHeight>0</wp14:pctHeight>
          </wp14:sizeRelV>
        </wp:anchor>
      </w:drawing>
    </w:r>
    <w:r w:rsidRPr="007C4F0A">
      <w:rPr>
        <w:i/>
        <w:noProof/>
      </w:rPr>
      <w:drawing>
        <wp:anchor distT="0" distB="0" distL="114300" distR="114300" simplePos="0" relativeHeight="251659264" behindDoc="0" locked="0" layoutInCell="1" allowOverlap="1" wp14:anchorId="5377A1AD" wp14:editId="2F825D50">
          <wp:simplePos x="0" y="0"/>
          <wp:positionH relativeFrom="column">
            <wp:posOffset>4004945</wp:posOffset>
          </wp:positionH>
          <wp:positionV relativeFrom="paragraph">
            <wp:posOffset>-241300</wp:posOffset>
          </wp:positionV>
          <wp:extent cx="2642616" cy="478536"/>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CT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42616" cy="478536"/>
                  </a:xfrm>
                  <a:prstGeom prst="rect">
                    <a:avLst/>
                  </a:prstGeom>
                </pic:spPr>
              </pic:pic>
            </a:graphicData>
          </a:graphic>
          <wp14:sizeRelH relativeFrom="page">
            <wp14:pctWidth>0</wp14:pctWidth>
          </wp14:sizeRelH>
          <wp14:sizeRelV relativeFrom="page">
            <wp14:pctHeight>0</wp14:pctHeight>
          </wp14:sizeRelV>
        </wp:anchor>
      </w:drawing>
    </w:r>
  </w:p>
  <w:p w14:paraId="7D96ED6C" w14:textId="77777777" w:rsidR="00AA0CF7" w:rsidRDefault="00AA0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01BD5"/>
    <w:multiLevelType w:val="hybridMultilevel"/>
    <w:tmpl w:val="A92EE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11C74C9"/>
    <w:multiLevelType w:val="hybridMultilevel"/>
    <w:tmpl w:val="2F80C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7100206">
    <w:abstractNumId w:val="0"/>
  </w:num>
  <w:num w:numId="2" w16cid:durableId="356394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14B7C"/>
    <w:rsid w:val="000946CB"/>
    <w:rsid w:val="000B266B"/>
    <w:rsid w:val="000E7F62"/>
    <w:rsid w:val="000F4431"/>
    <w:rsid w:val="00111441"/>
    <w:rsid w:val="00182182"/>
    <w:rsid w:val="001B279E"/>
    <w:rsid w:val="001C1FCD"/>
    <w:rsid w:val="001D37DD"/>
    <w:rsid w:val="002016FB"/>
    <w:rsid w:val="002269F7"/>
    <w:rsid w:val="00273A2E"/>
    <w:rsid w:val="002C1F0E"/>
    <w:rsid w:val="002D3A97"/>
    <w:rsid w:val="002F16AA"/>
    <w:rsid w:val="00342D86"/>
    <w:rsid w:val="003714CB"/>
    <w:rsid w:val="004479B4"/>
    <w:rsid w:val="00451BEF"/>
    <w:rsid w:val="0045321B"/>
    <w:rsid w:val="00473CD2"/>
    <w:rsid w:val="004D7734"/>
    <w:rsid w:val="00516005"/>
    <w:rsid w:val="0055051F"/>
    <w:rsid w:val="00582503"/>
    <w:rsid w:val="00591128"/>
    <w:rsid w:val="005B431A"/>
    <w:rsid w:val="005D2C2D"/>
    <w:rsid w:val="006C0C23"/>
    <w:rsid w:val="007000FD"/>
    <w:rsid w:val="00787C99"/>
    <w:rsid w:val="007A5124"/>
    <w:rsid w:val="007F3CEA"/>
    <w:rsid w:val="00854ABF"/>
    <w:rsid w:val="008712C5"/>
    <w:rsid w:val="00922500"/>
    <w:rsid w:val="0094674C"/>
    <w:rsid w:val="00991453"/>
    <w:rsid w:val="00992E32"/>
    <w:rsid w:val="009E2F42"/>
    <w:rsid w:val="00A144BC"/>
    <w:rsid w:val="00A23980"/>
    <w:rsid w:val="00A60ABE"/>
    <w:rsid w:val="00A732A8"/>
    <w:rsid w:val="00AA0CF7"/>
    <w:rsid w:val="00AA609B"/>
    <w:rsid w:val="00B13959"/>
    <w:rsid w:val="00B5058E"/>
    <w:rsid w:val="00B5073B"/>
    <w:rsid w:val="00B94125"/>
    <w:rsid w:val="00BA36FE"/>
    <w:rsid w:val="00C670CB"/>
    <w:rsid w:val="00CB4ECF"/>
    <w:rsid w:val="00CD285F"/>
    <w:rsid w:val="00D24E79"/>
    <w:rsid w:val="00D51560"/>
    <w:rsid w:val="00D8553E"/>
    <w:rsid w:val="00E80A29"/>
    <w:rsid w:val="00F13F6F"/>
    <w:rsid w:val="00F160F8"/>
    <w:rsid w:val="00F260FB"/>
    <w:rsid w:val="00F44216"/>
    <w:rsid w:val="00F5286E"/>
    <w:rsid w:val="00F6060E"/>
    <w:rsid w:val="00FA6F70"/>
    <w:rsid w:val="00FC395F"/>
    <w:rsid w:val="00FD4F47"/>
    <w:rsid w:val="00FE1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AAA5E"/>
  <w15:docId w15:val="{BBFF4C85-6719-447F-8348-1DF27EAF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70" w:lineRule="auto"/>
      <w:ind w:left="1520" w:hanging="658"/>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23"/>
      <w:ind w:left="10" w:right="72"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129" w:line="267" w:lineRule="auto"/>
      <w:ind w:left="10" w:right="65"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ind w:left="720"/>
    </w:pPr>
    <w:rPr>
      <w:rFonts w:ascii="Arial" w:eastAsia="Arial" w:hAnsi="Arial" w:cs="Arial"/>
      <w:i/>
      <w:color w:val="0000FF"/>
      <w:sz w:val="20"/>
      <w:u w:val="single" w:color="0000FF"/>
    </w:rPr>
  </w:style>
  <w:style w:type="character" w:customStyle="1" w:styleId="footnotedescriptionChar">
    <w:name w:val="footnote description Char"/>
    <w:link w:val="footnotedescription"/>
    <w:rPr>
      <w:rFonts w:ascii="Arial" w:eastAsia="Arial" w:hAnsi="Arial" w:cs="Arial"/>
      <w:i/>
      <w:color w:val="0000FF"/>
      <w:sz w:val="20"/>
      <w:u w:val="single" w:color="0000FF"/>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7A5124"/>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A5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124"/>
    <w:rPr>
      <w:rFonts w:ascii="Arial" w:eastAsia="Arial" w:hAnsi="Arial" w:cs="Arial"/>
      <w:color w:val="000000"/>
      <w:sz w:val="24"/>
    </w:rPr>
  </w:style>
  <w:style w:type="paragraph" w:styleId="Footer">
    <w:name w:val="footer"/>
    <w:basedOn w:val="Normal"/>
    <w:link w:val="FooterChar"/>
    <w:uiPriority w:val="99"/>
    <w:unhideWhenUsed/>
    <w:rsid w:val="007A5124"/>
    <w:pPr>
      <w:tabs>
        <w:tab w:val="center" w:pos="4513"/>
        <w:tab w:val="right" w:pos="9026"/>
      </w:tabs>
      <w:spacing w:after="0" w:line="240" w:lineRule="auto"/>
      <w:ind w:left="0" w:firstLine="0"/>
    </w:pPr>
    <w:rPr>
      <w:rFonts w:ascii="Calibri" w:eastAsia="Calibri" w:hAnsi="Calibri" w:cs="Calibri"/>
      <w:sz w:val="22"/>
    </w:rPr>
  </w:style>
  <w:style w:type="character" w:customStyle="1" w:styleId="FooterChar">
    <w:name w:val="Footer Char"/>
    <w:basedOn w:val="DefaultParagraphFont"/>
    <w:link w:val="Footer"/>
    <w:uiPriority w:val="99"/>
    <w:rsid w:val="007A5124"/>
    <w:rPr>
      <w:rFonts w:ascii="Calibri" w:eastAsia="Calibri" w:hAnsi="Calibri" w:cs="Calibri"/>
      <w:color w:val="000000"/>
    </w:rPr>
  </w:style>
  <w:style w:type="table" w:styleId="TableGrid0">
    <w:name w:val="Table Grid"/>
    <w:basedOn w:val="TableNormal"/>
    <w:uiPriority w:val="39"/>
    <w:rsid w:val="007A5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A5124"/>
    <w:pPr>
      <w:spacing w:after="0" w:line="240" w:lineRule="auto"/>
    </w:pPr>
    <w:tblPr>
      <w:tblCellMar>
        <w:top w:w="0" w:type="dxa"/>
        <w:left w:w="0" w:type="dxa"/>
        <w:bottom w:w="0" w:type="dxa"/>
        <w:right w:w="0" w:type="dxa"/>
      </w:tblCellMar>
    </w:tblPr>
  </w:style>
  <w:style w:type="table" w:customStyle="1" w:styleId="TableGrid21">
    <w:name w:val="TableGrid21"/>
    <w:rsid w:val="002269F7"/>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26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9272">
      <w:bodyDiv w:val="1"/>
      <w:marLeft w:val="0"/>
      <w:marRight w:val="0"/>
      <w:marTop w:val="0"/>
      <w:marBottom w:val="0"/>
      <w:divBdr>
        <w:top w:val="none" w:sz="0" w:space="0" w:color="auto"/>
        <w:left w:val="none" w:sz="0" w:space="0" w:color="auto"/>
        <w:bottom w:val="none" w:sz="0" w:space="0" w:color="auto"/>
        <w:right w:val="none" w:sz="0" w:space="0" w:color="auto"/>
      </w:divBdr>
    </w:div>
    <w:div w:id="591401533">
      <w:bodyDiv w:val="1"/>
      <w:marLeft w:val="0"/>
      <w:marRight w:val="0"/>
      <w:marTop w:val="0"/>
      <w:marBottom w:val="0"/>
      <w:divBdr>
        <w:top w:val="none" w:sz="0" w:space="0" w:color="auto"/>
        <w:left w:val="none" w:sz="0" w:space="0" w:color="auto"/>
        <w:bottom w:val="none" w:sz="0" w:space="0" w:color="auto"/>
        <w:right w:val="none" w:sz="0" w:space="0" w:color="auto"/>
      </w:divBdr>
    </w:div>
    <w:div w:id="642854445">
      <w:bodyDiv w:val="1"/>
      <w:marLeft w:val="0"/>
      <w:marRight w:val="0"/>
      <w:marTop w:val="0"/>
      <w:marBottom w:val="0"/>
      <w:divBdr>
        <w:top w:val="none" w:sz="0" w:space="0" w:color="auto"/>
        <w:left w:val="none" w:sz="0" w:space="0" w:color="auto"/>
        <w:bottom w:val="none" w:sz="0" w:space="0" w:color="auto"/>
        <w:right w:val="none" w:sz="0" w:space="0" w:color="auto"/>
      </w:divBdr>
    </w:div>
    <w:div w:id="826828392">
      <w:bodyDiv w:val="1"/>
      <w:marLeft w:val="0"/>
      <w:marRight w:val="0"/>
      <w:marTop w:val="0"/>
      <w:marBottom w:val="0"/>
      <w:divBdr>
        <w:top w:val="none" w:sz="0" w:space="0" w:color="auto"/>
        <w:left w:val="none" w:sz="0" w:space="0" w:color="auto"/>
        <w:bottom w:val="none" w:sz="0" w:space="0" w:color="auto"/>
        <w:right w:val="none" w:sz="0" w:space="0" w:color="auto"/>
      </w:divBdr>
    </w:div>
    <w:div w:id="1246761995">
      <w:bodyDiv w:val="1"/>
      <w:marLeft w:val="0"/>
      <w:marRight w:val="0"/>
      <w:marTop w:val="0"/>
      <w:marBottom w:val="0"/>
      <w:divBdr>
        <w:top w:val="none" w:sz="0" w:space="0" w:color="auto"/>
        <w:left w:val="none" w:sz="0" w:space="0" w:color="auto"/>
        <w:bottom w:val="none" w:sz="0" w:space="0" w:color="auto"/>
        <w:right w:val="none" w:sz="0" w:space="0" w:color="auto"/>
      </w:divBdr>
    </w:div>
    <w:div w:id="1247182824">
      <w:bodyDiv w:val="1"/>
      <w:marLeft w:val="0"/>
      <w:marRight w:val="0"/>
      <w:marTop w:val="0"/>
      <w:marBottom w:val="0"/>
      <w:divBdr>
        <w:top w:val="none" w:sz="0" w:space="0" w:color="auto"/>
        <w:left w:val="none" w:sz="0" w:space="0" w:color="auto"/>
        <w:bottom w:val="none" w:sz="0" w:space="0" w:color="auto"/>
        <w:right w:val="none" w:sz="0" w:space="0" w:color="auto"/>
      </w:divBdr>
    </w:div>
    <w:div w:id="1424690757">
      <w:bodyDiv w:val="1"/>
      <w:marLeft w:val="0"/>
      <w:marRight w:val="0"/>
      <w:marTop w:val="0"/>
      <w:marBottom w:val="0"/>
      <w:divBdr>
        <w:top w:val="none" w:sz="0" w:space="0" w:color="auto"/>
        <w:left w:val="none" w:sz="0" w:space="0" w:color="auto"/>
        <w:bottom w:val="none" w:sz="0" w:space="0" w:color="auto"/>
        <w:right w:val="none" w:sz="0" w:space="0" w:color="auto"/>
      </w:divBdr>
    </w:div>
    <w:div w:id="1673605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DF44C-433C-46A6-B293-3AB638B5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Audit Committee Chair's Report</vt:lpstr>
    </vt:vector>
  </TitlesOfParts>
  <Company>NHSCT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Chair's Report</dc:title>
  <dc:subject/>
  <dc:creator>Oxford University Hospitals</dc:creator>
  <cp:keywords>TB2023.33</cp:keywords>
  <cp:lastModifiedBy>Karen OKane (NHSCT)</cp:lastModifiedBy>
  <cp:revision>2</cp:revision>
  <dcterms:created xsi:type="dcterms:W3CDTF">2026-07-03T10:48:00Z</dcterms:created>
  <dcterms:modified xsi:type="dcterms:W3CDTF">2026-07-03T10:48:00Z</dcterms:modified>
</cp:coreProperties>
</file>